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9E17" w14:textId="5CBEED2E" w:rsidR="008765F3" w:rsidRPr="008765F3" w:rsidRDefault="008765F3" w:rsidP="00D92383">
      <w:pPr>
        <w:spacing w:after="0" w:line="240" w:lineRule="auto"/>
        <w:ind w:firstLine="284"/>
        <w:jc w:val="center"/>
        <w:rPr>
          <w:rFonts w:ascii="Arial" w:hAnsi="Arial" w:cs="Arial"/>
          <w:sz w:val="24"/>
          <w:szCs w:val="24"/>
        </w:rPr>
      </w:pPr>
      <w:r w:rsidRPr="008765F3">
        <w:rPr>
          <w:rFonts w:ascii="Arial" w:hAnsi="Arial" w:cs="Arial"/>
          <w:sz w:val="24"/>
          <w:szCs w:val="24"/>
        </w:rPr>
        <w:t>Tribunal de Justicia Administrativa del Estado de Guanajuato</w:t>
      </w:r>
    </w:p>
    <w:p w14:paraId="60C2F038" w14:textId="77777777" w:rsidR="008765F3" w:rsidRPr="008765F3" w:rsidRDefault="008765F3" w:rsidP="008765F3">
      <w:pPr>
        <w:spacing w:after="0" w:line="240" w:lineRule="auto"/>
        <w:ind w:firstLine="284"/>
        <w:jc w:val="center"/>
        <w:rPr>
          <w:rFonts w:ascii="Arial" w:hAnsi="Arial" w:cs="Arial"/>
          <w:sz w:val="24"/>
          <w:szCs w:val="24"/>
        </w:rPr>
      </w:pPr>
      <w:r w:rsidRPr="008765F3">
        <w:rPr>
          <w:rFonts w:ascii="Arial" w:hAnsi="Arial" w:cs="Arial"/>
          <w:sz w:val="24"/>
          <w:szCs w:val="24"/>
        </w:rPr>
        <w:t>Notas de Gestión Administrativa</w:t>
      </w:r>
    </w:p>
    <w:p w14:paraId="507776DB" w14:textId="601CE40E" w:rsidR="007D1E76" w:rsidRPr="008765F3" w:rsidRDefault="008765F3" w:rsidP="008765F3">
      <w:pPr>
        <w:spacing w:after="0" w:line="240" w:lineRule="auto"/>
        <w:ind w:firstLine="284"/>
        <w:jc w:val="center"/>
        <w:rPr>
          <w:rFonts w:ascii="Arial" w:hAnsi="Arial" w:cs="Arial"/>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65F3">
        <w:rPr>
          <w:rFonts w:ascii="Arial" w:hAnsi="Arial" w:cs="Arial"/>
          <w:sz w:val="24"/>
          <w:szCs w:val="24"/>
        </w:rPr>
        <w:t>Correspondiente del 01 de Enero al 3</w:t>
      </w:r>
      <w:r w:rsidR="00532EAC">
        <w:rPr>
          <w:rFonts w:ascii="Arial" w:hAnsi="Arial" w:cs="Arial"/>
          <w:sz w:val="24"/>
          <w:szCs w:val="24"/>
        </w:rPr>
        <w:t>0</w:t>
      </w:r>
      <w:r w:rsidRPr="008765F3">
        <w:rPr>
          <w:rFonts w:ascii="Arial" w:hAnsi="Arial" w:cs="Arial"/>
          <w:sz w:val="24"/>
          <w:szCs w:val="24"/>
        </w:rPr>
        <w:t xml:space="preserve"> de </w:t>
      </w:r>
      <w:r w:rsidR="00312888">
        <w:rPr>
          <w:rFonts w:ascii="Arial" w:hAnsi="Arial" w:cs="Arial"/>
          <w:sz w:val="24"/>
          <w:szCs w:val="24"/>
        </w:rPr>
        <w:t xml:space="preserve">Septiembre </w:t>
      </w:r>
      <w:r w:rsidRPr="008765F3">
        <w:rPr>
          <w:rFonts w:ascii="Arial" w:hAnsi="Arial" w:cs="Arial"/>
          <w:sz w:val="24"/>
          <w:szCs w:val="24"/>
        </w:rPr>
        <w:t>de 202</w:t>
      </w:r>
      <w:r w:rsidR="00B55BE0">
        <w:rPr>
          <w:rFonts w:ascii="Arial" w:hAnsi="Arial" w:cs="Arial"/>
          <w:sz w:val="24"/>
          <w:szCs w:val="24"/>
        </w:rPr>
        <w:t>5</w:t>
      </w:r>
      <w:r w:rsidRPr="008765F3">
        <w:rPr>
          <w:rFonts w:ascii="Arial" w:hAnsi="Arial" w:cs="Arial"/>
          <w:sz w:val="24"/>
          <w:szCs w:val="24"/>
        </w:rPr>
        <w:t>.</w:t>
      </w:r>
      <w:r w:rsidRPr="008765F3">
        <w:rPr>
          <w:rFonts w:ascii="Arial" w:hAnsi="Arial" w:cs="Arial"/>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49C50F62" w:rsidR="007D1E76" w:rsidRPr="00D501AD"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 xml:space="preserve">Los Estados Financieros de los entes públicos, proveen de información financiera a los principales usuarios de </w:t>
      </w:r>
      <w:proofErr w:type="gramStart"/>
      <w:r w:rsidRPr="00D501AD">
        <w:rPr>
          <w:rFonts w:ascii="Arial" w:hAnsi="Arial" w:cs="Arial"/>
          <w:sz w:val="20"/>
          <w:szCs w:val="20"/>
        </w:rPr>
        <w:t>la</w:t>
      </w:r>
      <w:r w:rsidR="00B732DA">
        <w:rPr>
          <w:rFonts w:ascii="Arial" w:hAnsi="Arial" w:cs="Arial"/>
          <w:sz w:val="20"/>
          <w:szCs w:val="20"/>
        </w:rPr>
        <w:t xml:space="preserve"> </w:t>
      </w:r>
      <w:r w:rsidRPr="00D501AD">
        <w:rPr>
          <w:rFonts w:ascii="Arial" w:hAnsi="Arial" w:cs="Arial"/>
          <w:sz w:val="20"/>
          <w:szCs w:val="20"/>
        </w:rPr>
        <w:t>misma</w:t>
      </w:r>
      <w:proofErr w:type="gramEnd"/>
      <w:r w:rsidRPr="00D501AD">
        <w:rPr>
          <w:rFonts w:ascii="Arial" w:hAnsi="Arial" w:cs="Arial"/>
          <w:sz w:val="20"/>
          <w:szCs w:val="20"/>
        </w:rPr>
        <w:t>, al</w:t>
      </w:r>
      <w:r w:rsidR="00E00323" w:rsidRPr="00D501AD">
        <w:rPr>
          <w:rFonts w:ascii="Arial" w:hAnsi="Arial" w:cs="Arial"/>
          <w:sz w:val="20"/>
          <w:szCs w:val="20"/>
        </w:rPr>
        <w:t xml:space="preserve"> Congreso y a los ciudadanos.</w:t>
      </w:r>
    </w:p>
    <w:p w14:paraId="025F8809" w14:textId="77777777" w:rsidR="007D1E76" w:rsidRPr="00D501AD" w:rsidRDefault="007D1E76" w:rsidP="007D1E76">
      <w:pPr>
        <w:spacing w:after="0" w:line="240" w:lineRule="auto"/>
        <w:jc w:val="both"/>
        <w:rPr>
          <w:rFonts w:ascii="Arial" w:hAnsi="Arial" w:cs="Arial"/>
          <w:sz w:val="20"/>
          <w:szCs w:val="20"/>
        </w:rPr>
      </w:pPr>
    </w:p>
    <w:p w14:paraId="25F26DDB" w14:textId="6AB8D957" w:rsidR="007D1E76" w:rsidRPr="00D501AD"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El objetivo del presente documento es la revelación del contexto y de los aspectos económicos</w:t>
      </w:r>
      <w:r w:rsidR="00344259">
        <w:rPr>
          <w:rFonts w:ascii="Arial" w:hAnsi="Arial" w:cs="Arial"/>
          <w:sz w:val="20"/>
          <w:szCs w:val="20"/>
        </w:rPr>
        <w:t xml:space="preserve"> -</w:t>
      </w:r>
      <w:r w:rsidRPr="00D501AD">
        <w:rPr>
          <w:rFonts w:ascii="Arial" w:hAnsi="Arial" w:cs="Arial"/>
          <w:sz w:val="20"/>
          <w:szCs w:val="20"/>
        </w:rPr>
        <w:t xml:space="preserve"> financieros más relevantes que influyeron en las decisiones del período, y que deberán ser considerados en la elaboración de los estados financieros para la mayor comprensión de </w:t>
      </w:r>
      <w:proofErr w:type="gramStart"/>
      <w:r w:rsidRPr="00D501AD">
        <w:rPr>
          <w:rFonts w:ascii="Arial" w:hAnsi="Arial" w:cs="Arial"/>
          <w:sz w:val="20"/>
          <w:szCs w:val="20"/>
        </w:rPr>
        <w:t>los m</w:t>
      </w:r>
      <w:r w:rsidR="00E00323" w:rsidRPr="00D501AD">
        <w:rPr>
          <w:rFonts w:ascii="Arial" w:hAnsi="Arial" w:cs="Arial"/>
          <w:sz w:val="20"/>
          <w:szCs w:val="20"/>
        </w:rPr>
        <w:t>ismos</w:t>
      </w:r>
      <w:proofErr w:type="gramEnd"/>
      <w:r w:rsidR="00E00323" w:rsidRPr="00D501AD">
        <w:rPr>
          <w:rFonts w:ascii="Arial" w:hAnsi="Arial" w:cs="Arial"/>
          <w:sz w:val="20"/>
          <w:szCs w:val="20"/>
        </w:rPr>
        <w:t xml:space="preserve"> y sus particularidades.</w:t>
      </w:r>
    </w:p>
    <w:p w14:paraId="606D20F5" w14:textId="77777777" w:rsidR="007D1E76" w:rsidRPr="00D501AD" w:rsidRDefault="007D1E76" w:rsidP="007D1E76">
      <w:pPr>
        <w:spacing w:after="0" w:line="240" w:lineRule="auto"/>
        <w:jc w:val="both"/>
        <w:rPr>
          <w:rFonts w:ascii="Arial" w:hAnsi="Arial" w:cs="Arial"/>
          <w:sz w:val="20"/>
          <w:szCs w:val="20"/>
        </w:rPr>
      </w:pPr>
    </w:p>
    <w:p w14:paraId="559642E6" w14:textId="77777777" w:rsidR="007D1E76"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D501AD">
        <w:rPr>
          <w:rFonts w:ascii="Arial" w:hAnsi="Arial" w:cs="Arial"/>
          <w:sz w:val="20"/>
          <w:szCs w:val="20"/>
        </w:rPr>
        <w:t>ones en períodos posteriores.</w:t>
      </w:r>
    </w:p>
    <w:p w14:paraId="184271B6" w14:textId="77777777" w:rsidR="00344259" w:rsidRDefault="00344259" w:rsidP="00D92383">
      <w:pPr>
        <w:spacing w:after="0" w:line="240" w:lineRule="auto"/>
        <w:ind w:firstLine="708"/>
        <w:jc w:val="both"/>
        <w:rPr>
          <w:rFonts w:ascii="Arial" w:hAnsi="Arial" w:cs="Arial"/>
          <w:sz w:val="20"/>
          <w:szCs w:val="20"/>
        </w:rPr>
      </w:pPr>
    </w:p>
    <w:p w14:paraId="11BE3D9A" w14:textId="77777777" w:rsidR="00344259" w:rsidRPr="00D501AD" w:rsidRDefault="00344259" w:rsidP="00344259">
      <w:pPr>
        <w:ind w:firstLine="709"/>
        <w:jc w:val="both"/>
        <w:rPr>
          <w:rFonts w:ascii="Arial" w:hAnsi="Arial" w:cs="Arial"/>
          <w:sz w:val="20"/>
          <w:szCs w:val="20"/>
        </w:rPr>
      </w:pPr>
      <w:r w:rsidRPr="00D501AD">
        <w:rPr>
          <w:rFonts w:ascii="Arial" w:hAnsi="Arial" w:cs="Arial"/>
          <w:sz w:val="20"/>
          <w:szCs w:val="20"/>
        </w:rPr>
        <w:t>El Tribunal de Justicia Administrativa del Estado de Guanajuato es un órgano jurisdiccional con autonomía, de control de legalidad, dotado de plena jurisdicción e imperio para hacer cumplir sus resoluciones en todo el territorio estatal.</w:t>
      </w:r>
    </w:p>
    <w:p w14:paraId="4A4DFB5C" w14:textId="77777777" w:rsidR="00344259" w:rsidRPr="00D501AD" w:rsidRDefault="00344259" w:rsidP="00344259">
      <w:pPr>
        <w:ind w:firstLine="708"/>
        <w:jc w:val="both"/>
        <w:rPr>
          <w:rFonts w:ascii="Arial" w:hAnsi="Arial" w:cs="Arial"/>
          <w:sz w:val="20"/>
          <w:szCs w:val="20"/>
        </w:rPr>
      </w:pPr>
      <w:r w:rsidRPr="00D501AD">
        <w:rPr>
          <w:rFonts w:ascii="Arial" w:hAnsi="Arial" w:cs="Arial"/>
          <w:sz w:val="20"/>
          <w:szCs w:val="20"/>
        </w:rPr>
        <w:t xml:space="preserve">Formará parte del Sistema Estatal Anticorrupción, su actuación estará sujeta a las bases establecidas en la Constitución Política para el Estado de Guanajuato, así como en la Ley del Sistema Estatal Anticorrupción de Guanajuato.  </w:t>
      </w:r>
    </w:p>
    <w:p w14:paraId="552BF0B5" w14:textId="77777777" w:rsidR="00344259" w:rsidRPr="00D501AD" w:rsidRDefault="00344259" w:rsidP="00D92383">
      <w:pPr>
        <w:spacing w:after="0" w:line="240" w:lineRule="auto"/>
        <w:ind w:firstLine="708"/>
        <w:jc w:val="both"/>
        <w:rPr>
          <w:rFonts w:ascii="Arial" w:hAnsi="Arial" w:cs="Arial"/>
          <w:sz w:val="20"/>
          <w:szCs w:val="20"/>
        </w:rPr>
      </w:pPr>
    </w:p>
    <w:p w14:paraId="1A1295A4" w14:textId="7B6ECC0A"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 xml:space="preserve">1. </w:t>
      </w:r>
      <w:r w:rsidR="00483D50">
        <w:rPr>
          <w:rFonts w:ascii="Arial" w:hAnsi="Arial" w:cs="Arial"/>
          <w:b/>
          <w:sz w:val="20"/>
          <w:szCs w:val="20"/>
        </w:rPr>
        <w:t>Autorización e H</w:t>
      </w:r>
      <w:r w:rsidR="009A0900">
        <w:rPr>
          <w:rFonts w:ascii="Arial" w:hAnsi="Arial" w:cs="Arial"/>
          <w:b/>
          <w:sz w:val="20"/>
          <w:szCs w:val="20"/>
        </w:rPr>
        <w:t>is</w:t>
      </w:r>
      <w:r w:rsidR="00483D50">
        <w:rPr>
          <w:rFonts w:ascii="Arial" w:hAnsi="Arial" w:cs="Arial"/>
          <w:b/>
          <w:sz w:val="20"/>
          <w:szCs w:val="20"/>
        </w:rPr>
        <w:t>toria</w:t>
      </w:r>
      <w:r w:rsidRPr="00D501AD">
        <w:rPr>
          <w:rFonts w:ascii="Arial" w:hAnsi="Arial" w:cs="Arial"/>
          <w:b/>
          <w:sz w:val="20"/>
          <w:szCs w:val="20"/>
        </w:rPr>
        <w:t>:</w:t>
      </w:r>
    </w:p>
    <w:p w14:paraId="78CDC49F" w14:textId="77777777" w:rsidR="00344259" w:rsidRPr="00D501AD" w:rsidRDefault="00344259" w:rsidP="00344259">
      <w:pPr>
        <w:spacing w:after="0" w:line="240" w:lineRule="auto"/>
        <w:jc w:val="both"/>
        <w:rPr>
          <w:rFonts w:ascii="Arial" w:hAnsi="Arial" w:cs="Arial"/>
          <w:sz w:val="20"/>
          <w:szCs w:val="20"/>
        </w:rPr>
      </w:pPr>
    </w:p>
    <w:p w14:paraId="08FCF742" w14:textId="77777777" w:rsidR="00344259" w:rsidRPr="00D501AD" w:rsidRDefault="00344259" w:rsidP="00344259">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Fecha de creación del ente.</w:t>
      </w:r>
    </w:p>
    <w:p w14:paraId="6BA65D3D" w14:textId="48110B50" w:rsidR="00344259" w:rsidRPr="00D501AD" w:rsidRDefault="00344259" w:rsidP="00344259">
      <w:pPr>
        <w:spacing w:after="0" w:line="240" w:lineRule="auto"/>
        <w:ind w:firstLine="708"/>
        <w:jc w:val="both"/>
        <w:rPr>
          <w:rFonts w:ascii="Arial" w:hAnsi="Arial" w:cs="Arial"/>
          <w:sz w:val="20"/>
          <w:szCs w:val="20"/>
        </w:rPr>
      </w:pPr>
      <w:r w:rsidRPr="00D501AD">
        <w:rPr>
          <w:rFonts w:ascii="Arial" w:hAnsi="Arial" w:cs="Arial"/>
          <w:sz w:val="20"/>
          <w:szCs w:val="20"/>
        </w:rPr>
        <w:t>El Tribunal de Justicia Administrativa del Estado de Guanajuato inició sus labores 11 de Septiembre de 1987</w:t>
      </w:r>
    </w:p>
    <w:p w14:paraId="6853EB30" w14:textId="77777777" w:rsidR="00344259" w:rsidRPr="00D501AD" w:rsidRDefault="00344259" w:rsidP="00344259">
      <w:pPr>
        <w:spacing w:after="0" w:line="240" w:lineRule="auto"/>
        <w:jc w:val="both"/>
        <w:rPr>
          <w:rFonts w:ascii="Arial" w:hAnsi="Arial" w:cs="Arial"/>
          <w:sz w:val="20"/>
          <w:szCs w:val="20"/>
        </w:rPr>
      </w:pPr>
    </w:p>
    <w:p w14:paraId="76727E5B" w14:textId="77777777" w:rsidR="00344259" w:rsidRDefault="00344259" w:rsidP="00344259">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Principales cambios en su estructura (interna históricamente).</w:t>
      </w:r>
    </w:p>
    <w:p w14:paraId="216654CF" w14:textId="4AC95998" w:rsidR="00344259" w:rsidRPr="00D501AD" w:rsidRDefault="00344259" w:rsidP="00344259">
      <w:pPr>
        <w:spacing w:after="0" w:line="240" w:lineRule="auto"/>
        <w:ind w:firstLine="708"/>
        <w:jc w:val="both"/>
        <w:rPr>
          <w:rFonts w:ascii="Arial" w:hAnsi="Arial" w:cs="Arial"/>
          <w:b/>
          <w:sz w:val="20"/>
          <w:szCs w:val="20"/>
        </w:rPr>
      </w:pPr>
      <w:r w:rsidRPr="00D501AD">
        <w:rPr>
          <w:rFonts w:ascii="Arial" w:hAnsi="Arial" w:cs="Arial"/>
          <w:sz w:val="20"/>
          <w:szCs w:val="20"/>
        </w:rPr>
        <w:t>Por reforma publicada en el órgano oficial de Gobierno del Estado de Guanajuato de fecha 8 de agosto de 2008, se precisa que el Tribunal de Justicia Administrativa del Estado de Guanajuato es un órgano de control de legalidad.</w:t>
      </w:r>
    </w:p>
    <w:p w14:paraId="6DD04477" w14:textId="77777777" w:rsidR="00344259" w:rsidRPr="00D501AD" w:rsidRDefault="00344259" w:rsidP="00344259">
      <w:pPr>
        <w:spacing w:after="0" w:line="240" w:lineRule="auto"/>
        <w:jc w:val="both"/>
        <w:rPr>
          <w:rFonts w:ascii="Arial" w:hAnsi="Arial" w:cs="Arial"/>
          <w:sz w:val="20"/>
          <w:szCs w:val="20"/>
        </w:rPr>
      </w:pPr>
    </w:p>
    <w:p w14:paraId="69DF7D11" w14:textId="4CC42E91" w:rsidR="00344259" w:rsidRPr="00D501AD" w:rsidRDefault="00344259" w:rsidP="00344259">
      <w:pPr>
        <w:spacing w:after="0" w:line="240" w:lineRule="auto"/>
        <w:ind w:firstLine="708"/>
        <w:jc w:val="both"/>
        <w:rPr>
          <w:rFonts w:ascii="Arial" w:hAnsi="Arial" w:cs="Arial"/>
          <w:sz w:val="20"/>
          <w:szCs w:val="20"/>
        </w:rPr>
      </w:pPr>
      <w:r w:rsidRPr="00D501AD">
        <w:rPr>
          <w:rFonts w:ascii="Arial" w:hAnsi="Arial" w:cs="Arial"/>
          <w:sz w:val="20"/>
          <w:szCs w:val="20"/>
        </w:rPr>
        <w:t>El 21 de Junio del año 2017, entró en vigor la Ley Orgánica del Tribunal de Justicia Administrativa del Estado de Guanajuato, de conformidad con el Artículo Primero Transitorio del Decreto Legislativo número 196, expedido por la Sexagésima Tercera Legislatura Constitucional del Estado Libre y Soberano de Guanajuato, mediante el cual se expide la Ley Orgánica de nuestro Tribunal.</w:t>
      </w:r>
    </w:p>
    <w:p w14:paraId="0A8F5AF2" w14:textId="77777777" w:rsidR="00D501AD" w:rsidRPr="00D501AD" w:rsidRDefault="00D501AD" w:rsidP="007D1E76">
      <w:pPr>
        <w:spacing w:after="0" w:line="240" w:lineRule="auto"/>
        <w:jc w:val="both"/>
        <w:rPr>
          <w:rFonts w:ascii="Arial" w:hAnsi="Arial" w:cs="Arial"/>
          <w:sz w:val="20"/>
          <w:szCs w:val="20"/>
        </w:rPr>
      </w:pPr>
    </w:p>
    <w:p w14:paraId="7FC5E966" w14:textId="77777777" w:rsidR="007D1E76" w:rsidRPr="00D501AD" w:rsidRDefault="007D1E76" w:rsidP="007D1E76">
      <w:pPr>
        <w:spacing w:after="0" w:line="240" w:lineRule="auto"/>
        <w:jc w:val="both"/>
        <w:rPr>
          <w:rFonts w:ascii="Arial" w:hAnsi="Arial" w:cs="Arial"/>
          <w:sz w:val="20"/>
          <w:szCs w:val="20"/>
        </w:rPr>
      </w:pPr>
    </w:p>
    <w:p w14:paraId="6697FD8A" w14:textId="1BBF5441"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 xml:space="preserve">2. </w:t>
      </w:r>
      <w:r w:rsidR="00483D50">
        <w:rPr>
          <w:rFonts w:ascii="Arial" w:hAnsi="Arial" w:cs="Arial"/>
          <w:b/>
          <w:sz w:val="20"/>
          <w:szCs w:val="20"/>
        </w:rPr>
        <w:t>P</w:t>
      </w:r>
      <w:r w:rsidRPr="00D501AD">
        <w:rPr>
          <w:rFonts w:ascii="Arial" w:hAnsi="Arial" w:cs="Arial"/>
          <w:b/>
          <w:sz w:val="20"/>
          <w:szCs w:val="20"/>
        </w:rPr>
        <w:t>an</w:t>
      </w:r>
      <w:r w:rsidR="00E00323" w:rsidRPr="00D501AD">
        <w:rPr>
          <w:rFonts w:ascii="Arial" w:hAnsi="Arial" w:cs="Arial"/>
          <w:b/>
          <w:sz w:val="20"/>
          <w:szCs w:val="20"/>
        </w:rPr>
        <w:t>orama Económico y Financiero:</w:t>
      </w:r>
    </w:p>
    <w:p w14:paraId="6FE69157" w14:textId="77777777" w:rsidR="007D1E76" w:rsidRPr="00D501AD" w:rsidRDefault="007D1E76" w:rsidP="007D1E76">
      <w:pPr>
        <w:spacing w:after="0" w:line="240" w:lineRule="auto"/>
        <w:jc w:val="both"/>
        <w:rPr>
          <w:rFonts w:ascii="Arial" w:hAnsi="Arial" w:cs="Arial"/>
          <w:sz w:val="20"/>
          <w:szCs w:val="20"/>
        </w:rPr>
      </w:pPr>
    </w:p>
    <w:p w14:paraId="0A15265C" w14:textId="77777777" w:rsidR="00D501AD" w:rsidRPr="00D501AD" w:rsidRDefault="00D501AD" w:rsidP="007D1E76">
      <w:pPr>
        <w:spacing w:after="0" w:line="240" w:lineRule="auto"/>
        <w:jc w:val="both"/>
        <w:rPr>
          <w:rFonts w:ascii="Arial" w:hAnsi="Arial" w:cs="Arial"/>
          <w:sz w:val="20"/>
          <w:szCs w:val="20"/>
        </w:rPr>
      </w:pPr>
    </w:p>
    <w:p w14:paraId="5FBC31F7" w14:textId="4307F28B" w:rsidR="00E6571C" w:rsidRPr="00D501AD" w:rsidRDefault="00E64D40" w:rsidP="00D501AD">
      <w:pPr>
        <w:ind w:firstLine="708"/>
        <w:jc w:val="both"/>
        <w:rPr>
          <w:rFonts w:ascii="Arial" w:hAnsi="Arial" w:cs="Arial"/>
          <w:sz w:val="20"/>
          <w:szCs w:val="20"/>
        </w:rPr>
      </w:pPr>
      <w:r w:rsidRPr="00D501AD">
        <w:rPr>
          <w:rFonts w:ascii="Arial" w:hAnsi="Arial" w:cs="Arial"/>
          <w:sz w:val="20"/>
          <w:szCs w:val="20"/>
        </w:rPr>
        <w:t>El TJ</w:t>
      </w:r>
      <w:r w:rsidR="00E6571C" w:rsidRPr="00D501AD">
        <w:rPr>
          <w:rFonts w:ascii="Arial" w:hAnsi="Arial" w:cs="Arial"/>
          <w:sz w:val="20"/>
          <w:szCs w:val="20"/>
        </w:rPr>
        <w:t>A no cuenta con esta información, porque el Tribunal fue creado para el control de legalidad, dotado de plena jurisdicción e imperio para hacer cumplir sus resoluciones en todo el territorio estatal, teniendo como objetivo impartir justicia Administrativa en el Estado de Guanajuato de manera pronta, completa e imparcial; así como procurarla y realizar capacitación especializada en esta materia.</w:t>
      </w:r>
    </w:p>
    <w:p w14:paraId="3E5840D3" w14:textId="77777777" w:rsidR="001A4B1E" w:rsidRDefault="001A4B1E" w:rsidP="007D1E76">
      <w:pPr>
        <w:spacing w:after="0" w:line="240" w:lineRule="auto"/>
        <w:jc w:val="both"/>
        <w:rPr>
          <w:rFonts w:ascii="Arial" w:hAnsi="Arial" w:cs="Arial"/>
          <w:b/>
          <w:sz w:val="20"/>
          <w:szCs w:val="20"/>
        </w:rPr>
      </w:pPr>
    </w:p>
    <w:p w14:paraId="213351BE" w14:textId="77777777" w:rsidR="00F61492" w:rsidRDefault="00F61492" w:rsidP="007D1E76">
      <w:pPr>
        <w:spacing w:after="0" w:line="240" w:lineRule="auto"/>
        <w:jc w:val="both"/>
        <w:rPr>
          <w:rFonts w:ascii="Arial" w:hAnsi="Arial" w:cs="Arial"/>
          <w:b/>
          <w:sz w:val="20"/>
          <w:szCs w:val="20"/>
        </w:rPr>
      </w:pPr>
    </w:p>
    <w:p w14:paraId="79F3A6D0" w14:textId="77777777" w:rsidR="00F61492" w:rsidRDefault="00F61492" w:rsidP="007D1E76">
      <w:pPr>
        <w:spacing w:after="0" w:line="240" w:lineRule="auto"/>
        <w:jc w:val="both"/>
        <w:rPr>
          <w:rFonts w:ascii="Arial" w:hAnsi="Arial" w:cs="Arial"/>
          <w:b/>
          <w:sz w:val="20"/>
          <w:szCs w:val="20"/>
        </w:rPr>
      </w:pPr>
    </w:p>
    <w:p w14:paraId="04D2019C" w14:textId="77777777" w:rsidR="00F61492" w:rsidRDefault="00F61492" w:rsidP="007D1E76">
      <w:pPr>
        <w:spacing w:after="0" w:line="240" w:lineRule="auto"/>
        <w:jc w:val="both"/>
        <w:rPr>
          <w:rFonts w:ascii="Arial" w:hAnsi="Arial" w:cs="Arial"/>
          <w:b/>
          <w:sz w:val="20"/>
          <w:szCs w:val="20"/>
        </w:rPr>
      </w:pPr>
    </w:p>
    <w:p w14:paraId="6752131E" w14:textId="77777777" w:rsidR="00F61492" w:rsidRDefault="00F61492" w:rsidP="007D1E76">
      <w:pPr>
        <w:spacing w:after="0" w:line="240" w:lineRule="auto"/>
        <w:jc w:val="both"/>
        <w:rPr>
          <w:rFonts w:ascii="Arial" w:hAnsi="Arial" w:cs="Arial"/>
          <w:b/>
          <w:sz w:val="20"/>
          <w:szCs w:val="20"/>
        </w:rPr>
      </w:pPr>
    </w:p>
    <w:p w14:paraId="08136E94" w14:textId="7471D4A9" w:rsidR="007D1E76" w:rsidRPr="00D501AD" w:rsidRDefault="00344259" w:rsidP="007D1E76">
      <w:pPr>
        <w:spacing w:after="0" w:line="240" w:lineRule="auto"/>
        <w:jc w:val="both"/>
        <w:rPr>
          <w:rFonts w:ascii="Arial" w:hAnsi="Arial" w:cs="Arial"/>
          <w:b/>
          <w:sz w:val="20"/>
          <w:szCs w:val="20"/>
        </w:rPr>
      </w:pPr>
      <w:r>
        <w:rPr>
          <w:rFonts w:ascii="Arial" w:hAnsi="Arial" w:cs="Arial"/>
          <w:b/>
          <w:sz w:val="20"/>
          <w:szCs w:val="20"/>
        </w:rPr>
        <w:lastRenderedPageBreak/>
        <w:t>3</w:t>
      </w:r>
      <w:r w:rsidR="007D1E76" w:rsidRPr="00D501AD">
        <w:rPr>
          <w:rFonts w:ascii="Arial" w:hAnsi="Arial" w:cs="Arial"/>
          <w:b/>
          <w:sz w:val="20"/>
          <w:szCs w:val="20"/>
        </w:rPr>
        <w:t xml:space="preserve">. </w:t>
      </w:r>
      <w:r w:rsidR="00E00323" w:rsidRPr="00D501AD">
        <w:rPr>
          <w:rFonts w:ascii="Arial" w:hAnsi="Arial" w:cs="Arial"/>
          <w:b/>
          <w:sz w:val="20"/>
          <w:szCs w:val="20"/>
        </w:rPr>
        <w:t>Organización y Objeto Social:</w:t>
      </w:r>
    </w:p>
    <w:p w14:paraId="6C85E52D" w14:textId="77777777" w:rsidR="007D1E76" w:rsidRPr="00D501AD" w:rsidRDefault="007D1E76" w:rsidP="007D1E76">
      <w:pPr>
        <w:spacing w:after="0" w:line="240" w:lineRule="auto"/>
        <w:jc w:val="both"/>
        <w:rPr>
          <w:rFonts w:ascii="Arial" w:hAnsi="Arial" w:cs="Arial"/>
          <w:sz w:val="20"/>
          <w:szCs w:val="20"/>
        </w:rPr>
      </w:pPr>
    </w:p>
    <w:p w14:paraId="3A7F2587"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Objeto social.</w:t>
      </w:r>
    </w:p>
    <w:p w14:paraId="54E40109" w14:textId="40ACD8DE" w:rsidR="00E6571C" w:rsidRPr="00D501AD" w:rsidRDefault="00D501AD" w:rsidP="00E6571C">
      <w:pPr>
        <w:tabs>
          <w:tab w:val="left" w:leader="underscore" w:pos="9923"/>
        </w:tabs>
        <w:jc w:val="both"/>
        <w:rPr>
          <w:rFonts w:ascii="Arial" w:hAnsi="Arial" w:cs="Arial"/>
          <w:sz w:val="20"/>
          <w:szCs w:val="20"/>
        </w:rPr>
      </w:pPr>
      <w:r>
        <w:rPr>
          <w:rFonts w:ascii="Arial" w:hAnsi="Arial" w:cs="Arial"/>
          <w:sz w:val="20"/>
          <w:szCs w:val="20"/>
        </w:rPr>
        <w:t xml:space="preserve">             </w:t>
      </w:r>
      <w:r w:rsidR="00E6571C" w:rsidRPr="00D501AD">
        <w:rPr>
          <w:rFonts w:ascii="Arial" w:hAnsi="Arial" w:cs="Arial"/>
          <w:sz w:val="20"/>
          <w:szCs w:val="20"/>
        </w:rPr>
        <w:t xml:space="preserve">Es la institución encargada del control jurisdiccional de actos y resoluciones dictados por autoridades administrativas estatales o municipales, sistema que se traduce en autotutela administrativa, sustentada en el principio de legalidad de actuación municipal en concordancia con el artículo 16 de la Constitución Política de los Estados Unidos Mexicanos y 2 de la Constitución Política para el Estado de Guanajuato.  </w:t>
      </w:r>
    </w:p>
    <w:p w14:paraId="43C65E00" w14:textId="77777777" w:rsidR="007D1E76" w:rsidRPr="00D501AD" w:rsidRDefault="007D1E76" w:rsidP="007D1E76">
      <w:pPr>
        <w:spacing w:after="0" w:line="240" w:lineRule="auto"/>
        <w:jc w:val="both"/>
        <w:rPr>
          <w:rFonts w:ascii="Arial" w:hAnsi="Arial" w:cs="Arial"/>
          <w:sz w:val="20"/>
          <w:szCs w:val="20"/>
        </w:rPr>
      </w:pPr>
    </w:p>
    <w:p w14:paraId="2C110A08"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Principal actividad.</w:t>
      </w:r>
    </w:p>
    <w:p w14:paraId="6B845D33" w14:textId="063DABCA" w:rsidR="001023AE" w:rsidRPr="00D501AD" w:rsidRDefault="001023AE" w:rsidP="00D501AD">
      <w:pPr>
        <w:ind w:firstLine="708"/>
        <w:jc w:val="both"/>
        <w:rPr>
          <w:rFonts w:ascii="Arial" w:hAnsi="Arial" w:cs="Arial"/>
          <w:sz w:val="20"/>
          <w:szCs w:val="20"/>
        </w:rPr>
      </w:pPr>
      <w:r w:rsidRPr="00D501AD">
        <w:rPr>
          <w:rFonts w:ascii="Arial" w:hAnsi="Arial" w:cs="Arial"/>
          <w:sz w:val="20"/>
          <w:szCs w:val="20"/>
        </w:rPr>
        <w:t xml:space="preserve">Es la institución encargada de tramitar demandas que presentan los ciudadanos, contra los actos de las autoridades administrativas estatales o municipales. También es la segunda instancia cuando los particulares demandan primeramente ante los juzgados Administrativos Municipales.  </w:t>
      </w:r>
    </w:p>
    <w:p w14:paraId="4DAEF734" w14:textId="77777777" w:rsidR="00781B59" w:rsidRDefault="00781B59" w:rsidP="001023AE">
      <w:pPr>
        <w:spacing w:after="0" w:line="240" w:lineRule="auto"/>
        <w:jc w:val="both"/>
        <w:rPr>
          <w:rFonts w:ascii="Arial" w:hAnsi="Arial" w:cs="Arial"/>
          <w:b/>
          <w:sz w:val="20"/>
          <w:szCs w:val="20"/>
        </w:rPr>
      </w:pPr>
    </w:p>
    <w:p w14:paraId="5C21D1A7" w14:textId="4E7A8CB0" w:rsidR="001023AE" w:rsidRDefault="007D1E76" w:rsidP="001023AE">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Ejercicio fiscal</w:t>
      </w:r>
      <w:r w:rsidR="00144572">
        <w:rPr>
          <w:rFonts w:ascii="Arial" w:hAnsi="Arial" w:cs="Arial"/>
          <w:sz w:val="20"/>
          <w:szCs w:val="20"/>
        </w:rPr>
        <w:t xml:space="preserve">: Enero a </w:t>
      </w:r>
      <w:r w:rsidR="00312888">
        <w:rPr>
          <w:rFonts w:ascii="Arial" w:hAnsi="Arial" w:cs="Arial"/>
          <w:sz w:val="20"/>
          <w:szCs w:val="20"/>
        </w:rPr>
        <w:t>Septiembre</w:t>
      </w:r>
      <w:r w:rsidR="00D501AD">
        <w:rPr>
          <w:rFonts w:ascii="Arial" w:hAnsi="Arial" w:cs="Arial"/>
          <w:sz w:val="20"/>
          <w:szCs w:val="20"/>
        </w:rPr>
        <w:t xml:space="preserve"> 202</w:t>
      </w:r>
      <w:r w:rsidR="00D72568">
        <w:rPr>
          <w:rFonts w:ascii="Arial" w:hAnsi="Arial" w:cs="Arial"/>
          <w:sz w:val="20"/>
          <w:szCs w:val="20"/>
        </w:rPr>
        <w:t>5</w:t>
      </w:r>
    </w:p>
    <w:p w14:paraId="284F963B" w14:textId="77777777" w:rsidR="00D501AD" w:rsidRPr="00D501AD" w:rsidRDefault="00D501AD" w:rsidP="001023AE">
      <w:pPr>
        <w:spacing w:after="0" w:line="240" w:lineRule="auto"/>
        <w:jc w:val="both"/>
        <w:rPr>
          <w:rFonts w:ascii="Arial" w:hAnsi="Arial" w:cs="Arial"/>
          <w:sz w:val="20"/>
          <w:szCs w:val="20"/>
        </w:rPr>
      </w:pPr>
    </w:p>
    <w:p w14:paraId="16703E54" w14:textId="77777777" w:rsidR="007D1E76" w:rsidRPr="00D501AD" w:rsidRDefault="007D1E76" w:rsidP="007D1E76">
      <w:pPr>
        <w:spacing w:after="0" w:line="240" w:lineRule="auto"/>
        <w:jc w:val="both"/>
        <w:rPr>
          <w:rFonts w:ascii="Arial" w:hAnsi="Arial" w:cs="Arial"/>
          <w:sz w:val="20"/>
          <w:szCs w:val="20"/>
        </w:rPr>
      </w:pPr>
    </w:p>
    <w:p w14:paraId="6B13C93F" w14:textId="318E50C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Régimen jurídico </w:t>
      </w:r>
    </w:p>
    <w:p w14:paraId="68B22724" w14:textId="091804D2" w:rsidR="007D1E76" w:rsidRPr="00D501AD" w:rsidRDefault="001023AE" w:rsidP="00B76227">
      <w:pPr>
        <w:ind w:firstLine="708"/>
        <w:jc w:val="both"/>
        <w:rPr>
          <w:rFonts w:ascii="Arial" w:hAnsi="Arial" w:cs="Arial"/>
          <w:sz w:val="20"/>
          <w:szCs w:val="20"/>
        </w:rPr>
      </w:pPr>
      <w:r w:rsidRPr="00D501AD">
        <w:rPr>
          <w:rFonts w:ascii="Arial" w:hAnsi="Arial" w:cs="Arial"/>
          <w:sz w:val="20"/>
          <w:szCs w:val="20"/>
        </w:rPr>
        <w:t xml:space="preserve">Tribunal de </w:t>
      </w:r>
      <w:r w:rsidR="00E64D40" w:rsidRPr="00D501AD">
        <w:rPr>
          <w:rFonts w:ascii="Arial" w:hAnsi="Arial" w:cs="Arial"/>
          <w:sz w:val="20"/>
          <w:szCs w:val="20"/>
        </w:rPr>
        <w:t>Justicia Administrativa</w:t>
      </w:r>
      <w:r w:rsidRPr="00D501AD">
        <w:rPr>
          <w:rFonts w:ascii="Arial" w:hAnsi="Arial" w:cs="Arial"/>
          <w:sz w:val="20"/>
          <w:szCs w:val="20"/>
        </w:rPr>
        <w:t xml:space="preserve"> del Estado de Guanajuato. </w:t>
      </w:r>
    </w:p>
    <w:p w14:paraId="78D4B6E9" w14:textId="77777777" w:rsidR="00781B59" w:rsidRDefault="00781B59" w:rsidP="007D1E76">
      <w:pPr>
        <w:spacing w:after="0" w:line="240" w:lineRule="auto"/>
        <w:jc w:val="both"/>
        <w:rPr>
          <w:rFonts w:ascii="Arial" w:hAnsi="Arial" w:cs="Arial"/>
          <w:b/>
          <w:sz w:val="20"/>
          <w:szCs w:val="20"/>
        </w:rPr>
      </w:pPr>
    </w:p>
    <w:p w14:paraId="15948964" w14:textId="4C4E7469" w:rsidR="007D1E76"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Consideraciones fiscales del ente: </w:t>
      </w:r>
    </w:p>
    <w:p w14:paraId="3BBE2149" w14:textId="77777777" w:rsidR="00ED7CF6" w:rsidRPr="00D501AD" w:rsidRDefault="00ED7CF6" w:rsidP="007D1E76">
      <w:pPr>
        <w:spacing w:after="0" w:line="240" w:lineRule="auto"/>
        <w:jc w:val="both"/>
        <w:rPr>
          <w:rFonts w:ascii="Arial" w:hAnsi="Arial" w:cs="Arial"/>
          <w:sz w:val="20"/>
          <w:szCs w:val="20"/>
        </w:rPr>
      </w:pPr>
    </w:p>
    <w:p w14:paraId="6765A1D2" w14:textId="765C5099" w:rsidR="001023AE" w:rsidRPr="00D501AD" w:rsidRDefault="001023AE" w:rsidP="001023AE">
      <w:pPr>
        <w:jc w:val="both"/>
        <w:rPr>
          <w:rFonts w:ascii="Arial" w:hAnsi="Arial" w:cs="Arial"/>
          <w:sz w:val="20"/>
          <w:szCs w:val="20"/>
        </w:rPr>
      </w:pPr>
      <w:r w:rsidRPr="00D501AD">
        <w:rPr>
          <w:rFonts w:ascii="Arial" w:hAnsi="Arial" w:cs="Arial"/>
          <w:sz w:val="20"/>
          <w:szCs w:val="20"/>
        </w:rPr>
        <w:t>RETENEDOR DE</w:t>
      </w:r>
      <w:r w:rsidR="00ED7CF6">
        <w:rPr>
          <w:rFonts w:ascii="Arial" w:hAnsi="Arial" w:cs="Arial"/>
          <w:sz w:val="20"/>
          <w:szCs w:val="20"/>
        </w:rPr>
        <w:t xml:space="preserve"> </w:t>
      </w:r>
      <w:r w:rsidRPr="00D501AD">
        <w:rPr>
          <w:rFonts w:ascii="Arial" w:hAnsi="Arial" w:cs="Arial"/>
          <w:sz w:val="20"/>
          <w:szCs w:val="20"/>
        </w:rPr>
        <w:t>SUELDOS</w:t>
      </w:r>
      <w:r w:rsidR="00ED7CF6">
        <w:rPr>
          <w:rFonts w:ascii="Arial" w:hAnsi="Arial" w:cs="Arial"/>
          <w:sz w:val="20"/>
          <w:szCs w:val="20"/>
        </w:rPr>
        <w:t xml:space="preserve"> </w:t>
      </w:r>
      <w:r w:rsidRPr="00D501AD">
        <w:rPr>
          <w:rFonts w:ascii="Arial" w:hAnsi="Arial" w:cs="Arial"/>
          <w:sz w:val="20"/>
          <w:szCs w:val="20"/>
        </w:rPr>
        <w:t>Y</w:t>
      </w:r>
      <w:r w:rsidR="00ED7CF6">
        <w:rPr>
          <w:rFonts w:ascii="Arial" w:hAnsi="Arial" w:cs="Arial"/>
          <w:sz w:val="20"/>
          <w:szCs w:val="20"/>
        </w:rPr>
        <w:t xml:space="preserve"> </w:t>
      </w:r>
      <w:r w:rsidRPr="00D501AD">
        <w:rPr>
          <w:rFonts w:ascii="Arial" w:hAnsi="Arial" w:cs="Arial"/>
          <w:sz w:val="20"/>
          <w:szCs w:val="20"/>
        </w:rPr>
        <w:t>SALARIOS</w:t>
      </w:r>
    </w:p>
    <w:p w14:paraId="40FDDF03" w14:textId="77777777" w:rsidR="001023AE" w:rsidRDefault="001023AE" w:rsidP="001023AE">
      <w:pPr>
        <w:jc w:val="both"/>
        <w:rPr>
          <w:rFonts w:ascii="Arial" w:hAnsi="Arial" w:cs="Arial"/>
          <w:sz w:val="20"/>
          <w:szCs w:val="20"/>
        </w:rPr>
      </w:pPr>
      <w:r w:rsidRPr="00D501AD">
        <w:rPr>
          <w:rFonts w:ascii="Arial" w:hAnsi="Arial" w:cs="Arial"/>
          <w:sz w:val="20"/>
          <w:szCs w:val="20"/>
        </w:rPr>
        <w:t>RETENEDOR DE INGRESOS POR ASIMILADOS A SALARIOS</w:t>
      </w:r>
    </w:p>
    <w:p w14:paraId="0595F909" w14:textId="38C77A71" w:rsidR="00661ACA" w:rsidRDefault="00661ACA" w:rsidP="00661ACA">
      <w:pPr>
        <w:jc w:val="both"/>
        <w:rPr>
          <w:rFonts w:ascii="Arial" w:hAnsi="Arial" w:cs="Arial"/>
          <w:sz w:val="20"/>
          <w:szCs w:val="20"/>
        </w:rPr>
      </w:pPr>
      <w:r w:rsidRPr="00D501AD">
        <w:rPr>
          <w:rFonts w:ascii="Arial" w:hAnsi="Arial" w:cs="Arial"/>
          <w:sz w:val="20"/>
          <w:szCs w:val="20"/>
        </w:rPr>
        <w:t xml:space="preserve">RETENEDOR DE INGRESOS POR </w:t>
      </w:r>
      <w:r>
        <w:rPr>
          <w:rFonts w:ascii="Arial" w:hAnsi="Arial" w:cs="Arial"/>
          <w:sz w:val="20"/>
          <w:szCs w:val="20"/>
        </w:rPr>
        <w:t>ARRENDAMIENTO DE INMUEBLES</w:t>
      </w:r>
    </w:p>
    <w:p w14:paraId="16A30D18" w14:textId="288EAD40" w:rsidR="00661ACA" w:rsidRDefault="00661ACA" w:rsidP="00661ACA">
      <w:pPr>
        <w:jc w:val="both"/>
        <w:rPr>
          <w:rFonts w:ascii="Arial" w:hAnsi="Arial" w:cs="Arial"/>
          <w:sz w:val="20"/>
          <w:szCs w:val="20"/>
        </w:rPr>
      </w:pPr>
      <w:r w:rsidRPr="00D501AD">
        <w:rPr>
          <w:rFonts w:ascii="Arial" w:hAnsi="Arial" w:cs="Arial"/>
          <w:sz w:val="20"/>
          <w:szCs w:val="20"/>
        </w:rPr>
        <w:t xml:space="preserve">RETENEDOR </w:t>
      </w:r>
      <w:r>
        <w:rPr>
          <w:rFonts w:ascii="Arial" w:hAnsi="Arial" w:cs="Arial"/>
          <w:sz w:val="20"/>
          <w:szCs w:val="20"/>
        </w:rPr>
        <w:t>DE INGRESOS POR PAGOS AL EXTRANJERO</w:t>
      </w:r>
    </w:p>
    <w:p w14:paraId="66615B3E" w14:textId="40565CA0" w:rsidR="001023AE" w:rsidRPr="00D501AD" w:rsidRDefault="001023AE" w:rsidP="001023AE">
      <w:pPr>
        <w:jc w:val="both"/>
        <w:rPr>
          <w:rFonts w:ascii="Arial" w:hAnsi="Arial" w:cs="Arial"/>
          <w:sz w:val="20"/>
          <w:szCs w:val="20"/>
        </w:rPr>
      </w:pPr>
      <w:r w:rsidRPr="00D501AD">
        <w:rPr>
          <w:rFonts w:ascii="Arial" w:hAnsi="Arial" w:cs="Arial"/>
          <w:sz w:val="20"/>
          <w:szCs w:val="20"/>
        </w:rPr>
        <w:t>RETENEDOR DE PRESTACION DE SERVICIOS PERSONALES</w:t>
      </w:r>
      <w:r w:rsidR="00661ACA">
        <w:rPr>
          <w:rFonts w:ascii="Arial" w:hAnsi="Arial" w:cs="Arial"/>
          <w:sz w:val="20"/>
          <w:szCs w:val="20"/>
        </w:rPr>
        <w:t>/REGIMEN SIMPLIFICADO DE CONFIANZA</w:t>
      </w:r>
    </w:p>
    <w:p w14:paraId="3FF63B9B" w14:textId="4E8CEC2D" w:rsidR="001023AE" w:rsidRPr="00D501AD" w:rsidRDefault="001023AE" w:rsidP="001023AE">
      <w:pPr>
        <w:jc w:val="both"/>
        <w:rPr>
          <w:rFonts w:ascii="Arial" w:hAnsi="Arial" w:cs="Arial"/>
          <w:sz w:val="20"/>
          <w:szCs w:val="20"/>
        </w:rPr>
      </w:pPr>
      <w:r w:rsidRPr="00D501AD">
        <w:rPr>
          <w:rFonts w:ascii="Arial" w:hAnsi="Arial" w:cs="Arial"/>
          <w:sz w:val="20"/>
          <w:szCs w:val="20"/>
        </w:rPr>
        <w:t>RETENEDOR DE IMPUE</w:t>
      </w:r>
      <w:r w:rsidR="00ED7CF6">
        <w:rPr>
          <w:rFonts w:ascii="Arial" w:hAnsi="Arial" w:cs="Arial"/>
          <w:sz w:val="20"/>
          <w:szCs w:val="20"/>
        </w:rPr>
        <w:t>S</w:t>
      </w:r>
      <w:r w:rsidRPr="00D501AD">
        <w:rPr>
          <w:rFonts w:ascii="Arial" w:hAnsi="Arial" w:cs="Arial"/>
          <w:sz w:val="20"/>
          <w:szCs w:val="20"/>
        </w:rPr>
        <w:t>TOS</w:t>
      </w:r>
      <w:r w:rsidR="00883BB8" w:rsidRPr="00D501AD">
        <w:rPr>
          <w:rFonts w:ascii="Arial" w:hAnsi="Arial" w:cs="Arial"/>
          <w:sz w:val="20"/>
          <w:szCs w:val="20"/>
        </w:rPr>
        <w:t xml:space="preserve"> </w:t>
      </w:r>
      <w:r w:rsidRPr="00D501AD">
        <w:rPr>
          <w:rFonts w:ascii="Arial" w:hAnsi="Arial" w:cs="Arial"/>
          <w:sz w:val="20"/>
          <w:szCs w:val="20"/>
        </w:rPr>
        <w:t>CEDULARES</w:t>
      </w:r>
    </w:p>
    <w:p w14:paraId="6268EF76" w14:textId="77777777" w:rsidR="007D1E76" w:rsidRPr="00D501AD" w:rsidRDefault="007D1E76" w:rsidP="007D1E76">
      <w:pPr>
        <w:spacing w:after="0" w:line="240" w:lineRule="auto"/>
        <w:jc w:val="both"/>
        <w:rPr>
          <w:rFonts w:ascii="Arial" w:hAnsi="Arial" w:cs="Arial"/>
          <w:sz w:val="20"/>
          <w:szCs w:val="20"/>
        </w:rPr>
      </w:pPr>
    </w:p>
    <w:p w14:paraId="47E6AA4A" w14:textId="77777777" w:rsidR="00781B59" w:rsidRDefault="00781B59" w:rsidP="007D1E76">
      <w:pPr>
        <w:spacing w:after="0" w:line="240" w:lineRule="auto"/>
        <w:jc w:val="both"/>
        <w:rPr>
          <w:rFonts w:ascii="Arial" w:hAnsi="Arial" w:cs="Arial"/>
          <w:b/>
          <w:sz w:val="20"/>
          <w:szCs w:val="20"/>
        </w:rPr>
      </w:pPr>
    </w:p>
    <w:p w14:paraId="18D87532" w14:textId="77777777" w:rsidR="00781B59" w:rsidRDefault="00781B59" w:rsidP="007D1E76">
      <w:pPr>
        <w:spacing w:after="0" w:line="240" w:lineRule="auto"/>
        <w:jc w:val="both"/>
        <w:rPr>
          <w:rFonts w:ascii="Arial" w:hAnsi="Arial" w:cs="Arial"/>
          <w:b/>
          <w:sz w:val="20"/>
          <w:szCs w:val="20"/>
        </w:rPr>
      </w:pPr>
    </w:p>
    <w:p w14:paraId="0FF2E2C4" w14:textId="77777777" w:rsidR="00781B59" w:rsidRDefault="00781B59" w:rsidP="007D1E76">
      <w:pPr>
        <w:spacing w:after="0" w:line="240" w:lineRule="auto"/>
        <w:jc w:val="both"/>
        <w:rPr>
          <w:rFonts w:ascii="Arial" w:hAnsi="Arial" w:cs="Arial"/>
          <w:b/>
          <w:sz w:val="20"/>
          <w:szCs w:val="20"/>
        </w:rPr>
      </w:pPr>
    </w:p>
    <w:p w14:paraId="2CDC9E8E" w14:textId="77777777" w:rsidR="00781B59" w:rsidRDefault="00781B59" w:rsidP="007D1E76">
      <w:pPr>
        <w:spacing w:after="0" w:line="240" w:lineRule="auto"/>
        <w:jc w:val="both"/>
        <w:rPr>
          <w:rFonts w:ascii="Arial" w:hAnsi="Arial" w:cs="Arial"/>
          <w:b/>
          <w:sz w:val="20"/>
          <w:szCs w:val="20"/>
        </w:rPr>
      </w:pPr>
    </w:p>
    <w:p w14:paraId="0397AEA7" w14:textId="77777777" w:rsidR="00781B59" w:rsidRDefault="00781B59" w:rsidP="007D1E76">
      <w:pPr>
        <w:spacing w:after="0" w:line="240" w:lineRule="auto"/>
        <w:jc w:val="both"/>
        <w:rPr>
          <w:rFonts w:ascii="Arial" w:hAnsi="Arial" w:cs="Arial"/>
          <w:b/>
          <w:sz w:val="20"/>
          <w:szCs w:val="20"/>
        </w:rPr>
      </w:pPr>
    </w:p>
    <w:p w14:paraId="30D3CE68" w14:textId="77777777" w:rsidR="00781B59" w:rsidRDefault="00781B59" w:rsidP="007D1E76">
      <w:pPr>
        <w:spacing w:after="0" w:line="240" w:lineRule="auto"/>
        <w:jc w:val="both"/>
        <w:rPr>
          <w:rFonts w:ascii="Arial" w:hAnsi="Arial" w:cs="Arial"/>
          <w:b/>
          <w:sz w:val="20"/>
          <w:szCs w:val="20"/>
        </w:rPr>
      </w:pPr>
    </w:p>
    <w:p w14:paraId="14B1B24C" w14:textId="77777777" w:rsidR="00781B59" w:rsidRDefault="00781B59" w:rsidP="007D1E76">
      <w:pPr>
        <w:spacing w:after="0" w:line="240" w:lineRule="auto"/>
        <w:jc w:val="both"/>
        <w:rPr>
          <w:rFonts w:ascii="Arial" w:hAnsi="Arial" w:cs="Arial"/>
          <w:b/>
          <w:sz w:val="20"/>
          <w:szCs w:val="20"/>
        </w:rPr>
      </w:pPr>
    </w:p>
    <w:p w14:paraId="4753D632" w14:textId="77777777" w:rsidR="00781B59" w:rsidRDefault="00781B59" w:rsidP="007D1E76">
      <w:pPr>
        <w:spacing w:after="0" w:line="240" w:lineRule="auto"/>
        <w:jc w:val="both"/>
        <w:rPr>
          <w:rFonts w:ascii="Arial" w:hAnsi="Arial" w:cs="Arial"/>
          <w:b/>
          <w:sz w:val="20"/>
          <w:szCs w:val="20"/>
        </w:rPr>
      </w:pPr>
    </w:p>
    <w:p w14:paraId="049197DA" w14:textId="77777777" w:rsidR="00781B59" w:rsidRDefault="00781B59" w:rsidP="007D1E76">
      <w:pPr>
        <w:spacing w:after="0" w:line="240" w:lineRule="auto"/>
        <w:jc w:val="both"/>
        <w:rPr>
          <w:rFonts w:ascii="Arial" w:hAnsi="Arial" w:cs="Arial"/>
          <w:b/>
          <w:sz w:val="20"/>
          <w:szCs w:val="20"/>
        </w:rPr>
      </w:pPr>
    </w:p>
    <w:p w14:paraId="7140DA16" w14:textId="77777777" w:rsidR="00781B59" w:rsidRDefault="00781B59" w:rsidP="007D1E76">
      <w:pPr>
        <w:spacing w:after="0" w:line="240" w:lineRule="auto"/>
        <w:jc w:val="both"/>
        <w:rPr>
          <w:rFonts w:ascii="Arial" w:hAnsi="Arial" w:cs="Arial"/>
          <w:b/>
          <w:sz w:val="20"/>
          <w:szCs w:val="20"/>
        </w:rPr>
      </w:pPr>
    </w:p>
    <w:p w14:paraId="0A0A9E34" w14:textId="77777777" w:rsidR="00E10C57" w:rsidRDefault="00E10C57" w:rsidP="007D1E76">
      <w:pPr>
        <w:spacing w:after="0" w:line="240" w:lineRule="auto"/>
        <w:jc w:val="both"/>
        <w:rPr>
          <w:rFonts w:ascii="Arial" w:hAnsi="Arial" w:cs="Arial"/>
          <w:b/>
          <w:sz w:val="20"/>
          <w:szCs w:val="20"/>
        </w:rPr>
      </w:pPr>
    </w:p>
    <w:p w14:paraId="18F1A82A" w14:textId="77777777" w:rsidR="00E10C57" w:rsidRDefault="00E10C57" w:rsidP="007D1E76">
      <w:pPr>
        <w:spacing w:after="0" w:line="240" w:lineRule="auto"/>
        <w:jc w:val="both"/>
        <w:rPr>
          <w:rFonts w:ascii="Arial" w:hAnsi="Arial" w:cs="Arial"/>
          <w:b/>
          <w:sz w:val="20"/>
          <w:szCs w:val="20"/>
        </w:rPr>
      </w:pPr>
    </w:p>
    <w:p w14:paraId="1D53C042" w14:textId="77777777" w:rsidR="00E10C57" w:rsidRDefault="00E10C57" w:rsidP="007D1E76">
      <w:pPr>
        <w:spacing w:after="0" w:line="240" w:lineRule="auto"/>
        <w:jc w:val="both"/>
        <w:rPr>
          <w:rFonts w:ascii="Arial" w:hAnsi="Arial" w:cs="Arial"/>
          <w:b/>
          <w:sz w:val="20"/>
          <w:szCs w:val="20"/>
        </w:rPr>
      </w:pPr>
    </w:p>
    <w:p w14:paraId="6C2721CE" w14:textId="77777777" w:rsidR="00E10C57" w:rsidRDefault="00E10C57" w:rsidP="007D1E76">
      <w:pPr>
        <w:spacing w:after="0" w:line="240" w:lineRule="auto"/>
        <w:jc w:val="both"/>
        <w:rPr>
          <w:rFonts w:ascii="Arial" w:hAnsi="Arial" w:cs="Arial"/>
          <w:b/>
          <w:sz w:val="20"/>
          <w:szCs w:val="20"/>
        </w:rPr>
      </w:pPr>
    </w:p>
    <w:p w14:paraId="67E99780" w14:textId="77777777" w:rsidR="00E10C57" w:rsidRDefault="00E10C57" w:rsidP="007D1E76">
      <w:pPr>
        <w:spacing w:after="0" w:line="240" w:lineRule="auto"/>
        <w:jc w:val="both"/>
        <w:rPr>
          <w:rFonts w:ascii="Arial" w:hAnsi="Arial" w:cs="Arial"/>
          <w:b/>
          <w:sz w:val="20"/>
          <w:szCs w:val="20"/>
        </w:rPr>
      </w:pPr>
    </w:p>
    <w:p w14:paraId="6EB77A6D" w14:textId="3448CCE7" w:rsidR="007D1E76" w:rsidRDefault="007D1E76" w:rsidP="00E6525C">
      <w:pPr>
        <w:spacing w:after="0" w:line="240" w:lineRule="auto"/>
        <w:ind w:left="708" w:hanging="708"/>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Estructura organizacional básica.</w:t>
      </w:r>
    </w:p>
    <w:p w14:paraId="67C62037" w14:textId="008D1DFA" w:rsidR="00951549" w:rsidRDefault="00491F08" w:rsidP="00A36854">
      <w:pPr>
        <w:spacing w:after="0" w:line="240" w:lineRule="auto"/>
        <w:ind w:hanging="426"/>
        <w:jc w:val="both"/>
        <w:rPr>
          <w:rFonts w:ascii="Arial" w:hAnsi="Arial" w:cs="Arial"/>
          <w:sz w:val="20"/>
          <w:szCs w:val="20"/>
        </w:rPr>
      </w:pPr>
      <w:r w:rsidRPr="003F2CC9">
        <w:rPr>
          <w:noProof/>
        </w:rPr>
        <w:drawing>
          <wp:anchor distT="0" distB="0" distL="114300" distR="114300" simplePos="0" relativeHeight="251660288" behindDoc="1" locked="0" layoutInCell="1" allowOverlap="1" wp14:anchorId="40C3A822" wp14:editId="0F0F4E00">
            <wp:simplePos x="0" y="0"/>
            <wp:positionH relativeFrom="margin">
              <wp:align>left</wp:align>
            </wp:positionH>
            <wp:positionV relativeFrom="margin">
              <wp:posOffset>294640</wp:posOffset>
            </wp:positionV>
            <wp:extent cx="6408420" cy="7391400"/>
            <wp:effectExtent l="0" t="0" r="0" b="0"/>
            <wp:wrapTopAndBottom/>
            <wp:docPr id="172545078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50784" name="Imagen 1" descr="Interfaz de usuario gráfic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408420" cy="7391400"/>
                    </a:xfrm>
                    <a:prstGeom prst="rect">
                      <a:avLst/>
                    </a:prstGeom>
                  </pic:spPr>
                </pic:pic>
              </a:graphicData>
            </a:graphic>
            <wp14:sizeRelH relativeFrom="margin">
              <wp14:pctWidth>0</wp14:pctWidth>
            </wp14:sizeRelH>
            <wp14:sizeRelV relativeFrom="margin">
              <wp14:pctHeight>0</wp14:pctHeight>
            </wp14:sizeRelV>
          </wp:anchor>
        </w:drawing>
      </w:r>
    </w:p>
    <w:p w14:paraId="19CEE146" w14:textId="57DE7731" w:rsidR="007D1E76" w:rsidRPr="00F61492"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w:t>
      </w:r>
      <w:r w:rsidRPr="00F61492">
        <w:rPr>
          <w:rFonts w:ascii="Arial" w:hAnsi="Arial" w:cs="Arial"/>
          <w:sz w:val="20"/>
          <w:szCs w:val="20"/>
        </w:rPr>
        <w:t xml:space="preserve">Fideicomisos, mandatos y análogos de los cuales es fideicomitente o </w:t>
      </w:r>
      <w:r w:rsidR="00657009" w:rsidRPr="00F61492">
        <w:rPr>
          <w:rFonts w:ascii="Arial" w:hAnsi="Arial" w:cs="Arial"/>
          <w:sz w:val="20"/>
          <w:szCs w:val="20"/>
        </w:rPr>
        <w:t>fideicomisario</w:t>
      </w:r>
      <w:r w:rsidRPr="00F61492">
        <w:rPr>
          <w:rFonts w:ascii="Arial" w:hAnsi="Arial" w:cs="Arial"/>
          <w:sz w:val="20"/>
          <w:szCs w:val="20"/>
        </w:rPr>
        <w:t>.</w:t>
      </w:r>
    </w:p>
    <w:p w14:paraId="755B9D56" w14:textId="74805242" w:rsidR="002C4ED6" w:rsidRPr="00D501AD" w:rsidRDefault="00EB6B7A" w:rsidP="002C4ED6">
      <w:pPr>
        <w:jc w:val="both"/>
        <w:rPr>
          <w:rFonts w:ascii="Arial" w:hAnsi="Arial" w:cs="Arial"/>
          <w:sz w:val="20"/>
          <w:szCs w:val="20"/>
        </w:rPr>
      </w:pPr>
      <w:r w:rsidRPr="00F61492">
        <w:rPr>
          <w:rFonts w:ascii="Arial" w:hAnsi="Arial" w:cs="Arial"/>
          <w:sz w:val="20"/>
          <w:szCs w:val="20"/>
        </w:rPr>
        <w:t xml:space="preserve">     Esta nota no le aplica al ente público.</w:t>
      </w:r>
    </w:p>
    <w:p w14:paraId="7682CC3F" w14:textId="77777777" w:rsidR="007D1E76" w:rsidRPr="00D501AD" w:rsidRDefault="007D1E76" w:rsidP="007D1E76">
      <w:pPr>
        <w:spacing w:after="0" w:line="240" w:lineRule="auto"/>
        <w:jc w:val="both"/>
        <w:rPr>
          <w:rFonts w:ascii="Arial" w:hAnsi="Arial" w:cs="Arial"/>
          <w:sz w:val="20"/>
          <w:szCs w:val="20"/>
        </w:rPr>
      </w:pPr>
    </w:p>
    <w:p w14:paraId="23F17226" w14:textId="39B44FD3" w:rsidR="00174F67" w:rsidRPr="00D75EFB" w:rsidRDefault="003E12F2" w:rsidP="00174F67">
      <w:pPr>
        <w:spacing w:after="0" w:line="240" w:lineRule="auto"/>
        <w:jc w:val="both"/>
        <w:rPr>
          <w:rFonts w:ascii="Arial" w:hAnsi="Arial" w:cs="Arial"/>
          <w:b/>
          <w:sz w:val="20"/>
          <w:szCs w:val="20"/>
        </w:rPr>
      </w:pPr>
      <w:r>
        <w:rPr>
          <w:rFonts w:ascii="Arial" w:hAnsi="Arial" w:cs="Arial"/>
          <w:b/>
          <w:sz w:val="20"/>
          <w:szCs w:val="20"/>
        </w:rPr>
        <w:t>4</w:t>
      </w:r>
      <w:r w:rsidR="007D1E76" w:rsidRPr="00D501AD">
        <w:rPr>
          <w:rFonts w:ascii="Arial" w:hAnsi="Arial" w:cs="Arial"/>
          <w:b/>
          <w:sz w:val="20"/>
          <w:szCs w:val="20"/>
        </w:rPr>
        <w:t>. Bases de Preparació</w:t>
      </w:r>
      <w:r w:rsidR="00E00323" w:rsidRPr="00D501AD">
        <w:rPr>
          <w:rFonts w:ascii="Arial" w:hAnsi="Arial" w:cs="Arial"/>
          <w:b/>
          <w:sz w:val="20"/>
          <w:szCs w:val="20"/>
        </w:rPr>
        <w:t>n de los Estados Financieros:</w:t>
      </w:r>
    </w:p>
    <w:p w14:paraId="00B4DB6C" w14:textId="77777777" w:rsidR="00174F67" w:rsidRPr="00D501AD" w:rsidRDefault="00174F67" w:rsidP="00174F67">
      <w:pPr>
        <w:spacing w:after="0" w:line="240" w:lineRule="auto"/>
        <w:jc w:val="both"/>
        <w:rPr>
          <w:rFonts w:ascii="Arial" w:hAnsi="Arial" w:cs="Arial"/>
          <w:sz w:val="20"/>
          <w:szCs w:val="20"/>
        </w:rPr>
      </w:pPr>
    </w:p>
    <w:p w14:paraId="381A76B2" w14:textId="28D792E7" w:rsidR="00174F67" w:rsidRPr="00D501AD" w:rsidRDefault="00174F67" w:rsidP="00DB309E">
      <w:pPr>
        <w:spacing w:after="0" w:line="240" w:lineRule="auto"/>
        <w:jc w:val="both"/>
        <w:rPr>
          <w:rFonts w:ascii="Arial" w:eastAsia="Times New Roman" w:hAnsi="Arial" w:cs="Arial"/>
          <w:color w:val="222222"/>
          <w:sz w:val="20"/>
          <w:szCs w:val="20"/>
          <w:lang w:eastAsia="es-MX"/>
        </w:rPr>
      </w:pPr>
      <w:r w:rsidRPr="00D501AD">
        <w:rPr>
          <w:rFonts w:ascii="Arial" w:hAnsi="Arial" w:cs="Arial"/>
          <w:b/>
          <w:sz w:val="20"/>
          <w:szCs w:val="20"/>
        </w:rPr>
        <w:t>a)</w:t>
      </w:r>
      <w:r w:rsidR="0087256B">
        <w:rPr>
          <w:rFonts w:ascii="Arial" w:hAnsi="Arial" w:cs="Arial"/>
          <w:b/>
          <w:sz w:val="20"/>
          <w:szCs w:val="20"/>
        </w:rPr>
        <w:t xml:space="preserve"> </w:t>
      </w:r>
      <w:r w:rsidRPr="00D501AD">
        <w:rPr>
          <w:rFonts w:ascii="Arial" w:eastAsia="Times New Roman" w:hAnsi="Arial" w:cs="Arial"/>
          <w:color w:val="000000"/>
          <w:sz w:val="20"/>
          <w:szCs w:val="20"/>
          <w:lang w:eastAsia="es-MX"/>
        </w:rPr>
        <w:t>Se han aplicado los siguientes documentos del CONAC en cuanto a nuestro ámbito de competencia:</w:t>
      </w:r>
    </w:p>
    <w:p w14:paraId="6A48545B"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General</w:t>
      </w:r>
    </w:p>
    <w:p w14:paraId="73D9065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Marco conceptual de Contabilidad Gubernamental</w:t>
      </w:r>
    </w:p>
    <w:p w14:paraId="67D61FC9" w14:textId="77777777" w:rsidR="00174F67" w:rsidRDefault="00174F67" w:rsidP="00174F67">
      <w:pPr>
        <w:shd w:val="clear" w:color="auto" w:fill="FFFFFF"/>
        <w:spacing w:after="0" w:line="240" w:lineRule="auto"/>
        <w:ind w:left="709"/>
        <w:jc w:val="both"/>
        <w:rPr>
          <w:rFonts w:ascii="Arial" w:eastAsia="Times New Roman" w:hAnsi="Arial" w:cs="Arial"/>
          <w:color w:val="000000"/>
          <w:sz w:val="20"/>
          <w:szCs w:val="20"/>
          <w:lang w:eastAsia="es-MX"/>
        </w:rPr>
      </w:pPr>
      <w:r w:rsidRPr="00D501AD">
        <w:rPr>
          <w:rFonts w:ascii="Arial" w:eastAsia="Times New Roman" w:hAnsi="Arial" w:cs="Arial"/>
          <w:color w:val="000000"/>
          <w:sz w:val="20"/>
          <w:szCs w:val="20"/>
          <w:lang w:eastAsia="es-MX"/>
        </w:rPr>
        <w:t>Postulados básicos de Contabilidad Gubernamental</w:t>
      </w:r>
    </w:p>
    <w:p w14:paraId="18201840" w14:textId="77777777" w:rsidR="00E312C7" w:rsidRPr="00D501AD" w:rsidRDefault="00E312C7" w:rsidP="00174F67">
      <w:pPr>
        <w:shd w:val="clear" w:color="auto" w:fill="FFFFFF"/>
        <w:spacing w:after="0" w:line="240" w:lineRule="auto"/>
        <w:ind w:left="709"/>
        <w:jc w:val="both"/>
        <w:rPr>
          <w:rFonts w:ascii="Arial" w:eastAsia="Times New Roman" w:hAnsi="Arial" w:cs="Arial"/>
          <w:color w:val="222222"/>
          <w:sz w:val="20"/>
          <w:szCs w:val="20"/>
          <w:lang w:eastAsia="es-MX"/>
        </w:rPr>
      </w:pPr>
    </w:p>
    <w:p w14:paraId="1C8E418E"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Clasificadores Presupuestarios</w:t>
      </w:r>
    </w:p>
    <w:p w14:paraId="1875AEC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Rubros de Ingresos</w:t>
      </w:r>
    </w:p>
    <w:p w14:paraId="75BE684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Administrativa</w:t>
      </w:r>
    </w:p>
    <w:p w14:paraId="24B4164F"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Funcional del Gasto</w:t>
      </w:r>
    </w:p>
    <w:p w14:paraId="2BC8A15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Programática</w:t>
      </w:r>
    </w:p>
    <w:p w14:paraId="4AE2CC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Tipo de Gasto</w:t>
      </w:r>
    </w:p>
    <w:p w14:paraId="79CEAC77"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Objeto del Gasto</w:t>
      </w:r>
    </w:p>
    <w:p w14:paraId="08BB509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Fuentes de Financiamiento</w:t>
      </w:r>
    </w:p>
    <w:p w14:paraId="1510426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Económica de los Ingresos, de los Gastos y del Financiamiento de los Entes Públicos</w:t>
      </w:r>
    </w:p>
    <w:p w14:paraId="2BD0E33B" w14:textId="40768DBA"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Reglas de registro</w:t>
      </w:r>
    </w:p>
    <w:p w14:paraId="6EA0FCCB"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y Metodología para la Determinación de los Momentos Contables de los Ingresos</w:t>
      </w:r>
    </w:p>
    <w:p w14:paraId="310EEA6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y Metodología para la Determinación de los Momentos Contables de los Egresos</w:t>
      </w:r>
    </w:p>
    <w:p w14:paraId="2442AE8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que deberán observar los entes públicos para registrar en las cuentas de activo los fideicomisos sin estructura orgánica y contratos análogos, incluyendo mandatos</w:t>
      </w:r>
    </w:p>
    <w:p w14:paraId="2D2D833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Parámetros de Estimación de Vida Útil</w:t>
      </w:r>
    </w:p>
    <w:p w14:paraId="460F0A6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emite el formato de conciliación entre los ingresos presupuestarios y contables, así como entre los egresos presupuestarios y los gastos contables</w:t>
      </w:r>
    </w:p>
    <w:p w14:paraId="4A0FDBB4"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presupuestario y contable de los Recursos del Fondo de Aportaciones para la Nómina Educativa y Gasto Operativo</w:t>
      </w:r>
    </w:p>
    <w:p w14:paraId="5D6C55A4"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de los Recursos del Fondo de Aportaciones Múltiples para las operaciones derivadas del Programa de Mejoramiento de la Infraestructura Física Educativa (Programa Escuelas al CIEN).</w:t>
      </w:r>
    </w:p>
    <w:p w14:paraId="201E58D6"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Manuales simplificados municipios</w:t>
      </w:r>
    </w:p>
    <w:p w14:paraId="4742BE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armoniza la estructura de las cuentas públicas</w:t>
      </w:r>
    </w:p>
    <w:p w14:paraId="66959CB0"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en materia de consolidación de Estados Financieros y demás información contable</w:t>
      </w:r>
    </w:p>
    <w:p w14:paraId="14A8E7E1" w14:textId="1F27EA35"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Lineamientos de control</w:t>
      </w:r>
    </w:p>
    <w:p w14:paraId="2ED45158"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Auxiliar Sujeto a Inventario de Bienes Arqueológicos, Artísticos e Históricos Bajo Custodia de los Entes Públicos</w:t>
      </w:r>
    </w:p>
    <w:p w14:paraId="22417610"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Mínimos relativos al Diseño e Integración del Registro en los Libros Diario, Mayor e Inventarios y Balances (Registro Electrónico)</w:t>
      </w:r>
    </w:p>
    <w:p w14:paraId="445AF62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elaboración del Catálogo de Bienes que permita la interrelación automática con el Clasificador por Objeto del Gasto y la Lista de Cuentas</w:t>
      </w:r>
    </w:p>
    <w:p w14:paraId="70A2857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dirigidos a asegurar que el Sistema de Contabilidad Gubernamental facilite el Registro y Control de los Inventarios de los Bienes Muebles e Inmuebles de los Entes Públicos</w:t>
      </w:r>
    </w:p>
    <w:p w14:paraId="25E8239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Elaboración del Catálogo de Bienes Inmuebles que Permita la Interrelación Automática con el Clasificador por Objeto del Gasto y la Lista de Cuentas</w:t>
      </w:r>
    </w:p>
    <w:p w14:paraId="55AB2D27"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determina la norma para establecer la estructura del formato de la relación de bienes que componen el patrimonio del ente público</w:t>
      </w:r>
    </w:p>
    <w:p w14:paraId="22F0195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determina la norma de información financiera para precisar los alcances del Acuerdo 1 aprobado por el Consejo Nacional de Armonización Contable, en reunión del 3 de mayo de 2013 y publicado el 16 de mayo de 2013</w:t>
      </w:r>
    </w:p>
    <w:p w14:paraId="700824B2" w14:textId="109EE875"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Transparencia</w:t>
      </w:r>
    </w:p>
    <w:p w14:paraId="0374AC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armonizar la presentación de la información adicional a la iniciativa de la Ley de Ingresos</w:t>
      </w:r>
    </w:p>
    <w:p w14:paraId="2E0CD95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armonizar la presentación de la información adicional del Proyecto del Presupuesto de Egresos</w:t>
      </w:r>
    </w:p>
    <w:p w14:paraId="3DFBC8CF"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la difusión a la ciudadanía de la Ley de Ingresos y del Presupuesto de Egresos</w:t>
      </w:r>
    </w:p>
    <w:p w14:paraId="7F5388F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del Calendario de Ingresos base mensual</w:t>
      </w:r>
    </w:p>
    <w:p w14:paraId="42BB18F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del Calendario del Presupuesto de Egresos base mensual</w:t>
      </w:r>
    </w:p>
    <w:p w14:paraId="1EB8B6E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 información de montos pagados por ayudas y subsidios</w:t>
      </w:r>
    </w:p>
    <w:p w14:paraId="2F4CD41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para establecer la estructura de información del formato del ejercicio y destino de gasto federalizado y reintegros</w:t>
      </w:r>
    </w:p>
    <w:p w14:paraId="3170737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 información de la relación de las cuentas bancarias productivas específicas que se presentan en la cuenta pública, en las cuales se depositen los recursos federales transferidos</w:t>
      </w:r>
    </w:p>
    <w:p w14:paraId="420A1CD5" w14:textId="5950B5F0"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proofErr w:type="spellStart"/>
      <w:r w:rsidR="00174F67" w:rsidRPr="00D501AD">
        <w:rPr>
          <w:rFonts w:ascii="Arial" w:eastAsia="Times New Roman" w:hAnsi="Arial" w:cs="Arial"/>
          <w:color w:val="000000"/>
          <w:sz w:val="20"/>
          <w:szCs w:val="20"/>
          <w:lang w:eastAsia="es-MX"/>
        </w:rPr>
        <w:t>Pbr</w:t>
      </w:r>
      <w:proofErr w:type="spellEnd"/>
      <w:r w:rsidR="00174F67" w:rsidRPr="00D501AD">
        <w:rPr>
          <w:rFonts w:ascii="Arial" w:eastAsia="Times New Roman" w:hAnsi="Arial" w:cs="Arial"/>
          <w:color w:val="000000"/>
          <w:sz w:val="20"/>
          <w:szCs w:val="20"/>
          <w:lang w:eastAsia="es-MX"/>
        </w:rPr>
        <w:t>-SED</w:t>
      </w:r>
    </w:p>
    <w:p w14:paraId="1900DC3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sobre los Indicadores para Medir los Avances Físicos y Financieros relacionados con los Recursos Públicos Federales</w:t>
      </w:r>
    </w:p>
    <w:p w14:paraId="510DE73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construcción y diseño de indicadores de desempeño mediante la Metodología de Marco Lógico</w:t>
      </w:r>
    </w:p>
    <w:p w14:paraId="1D6C7876" w14:textId="77777777" w:rsidR="00174F67" w:rsidRPr="00D501AD" w:rsidRDefault="00174F67" w:rsidP="00174F67">
      <w:pPr>
        <w:spacing w:after="0" w:line="240" w:lineRule="auto"/>
        <w:jc w:val="both"/>
        <w:rPr>
          <w:rFonts w:ascii="Arial" w:hAnsi="Arial" w:cs="Arial"/>
          <w:sz w:val="20"/>
          <w:szCs w:val="20"/>
        </w:rPr>
      </w:pPr>
    </w:p>
    <w:p w14:paraId="6555F8EB" w14:textId="150A91E2" w:rsidR="00174F67" w:rsidRDefault="00174F67" w:rsidP="00174F67">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D501AD">
        <w:rPr>
          <w:rFonts w:ascii="Arial" w:hAnsi="Arial" w:cs="Arial"/>
          <w:sz w:val="20"/>
          <w:szCs w:val="20"/>
        </w:rPr>
        <w:t>los</w:t>
      </w:r>
      <w:r w:rsidR="00C75A42">
        <w:rPr>
          <w:rFonts w:ascii="Arial" w:hAnsi="Arial" w:cs="Arial"/>
          <w:sz w:val="20"/>
          <w:szCs w:val="20"/>
        </w:rPr>
        <w:t xml:space="preserve"> </w:t>
      </w:r>
      <w:r w:rsidRPr="00D501AD">
        <w:rPr>
          <w:rFonts w:ascii="Arial" w:hAnsi="Arial" w:cs="Arial"/>
          <w:sz w:val="20"/>
          <w:szCs w:val="20"/>
        </w:rPr>
        <w:t>mismos</w:t>
      </w:r>
      <w:proofErr w:type="gramEnd"/>
      <w:r w:rsidRPr="00D501AD">
        <w:rPr>
          <w:rFonts w:ascii="Arial" w:hAnsi="Arial" w:cs="Arial"/>
          <w:sz w:val="20"/>
          <w:szCs w:val="20"/>
        </w:rPr>
        <w:t>.</w:t>
      </w:r>
    </w:p>
    <w:p w14:paraId="6B7CCD48" w14:textId="7159A87C" w:rsidR="003E34E2" w:rsidRDefault="003E34E2" w:rsidP="003E34E2">
      <w:pPr>
        <w:spacing w:after="0" w:line="240" w:lineRule="auto"/>
        <w:ind w:firstLine="708"/>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D0E5693" w14:textId="77777777" w:rsidR="00E312C7" w:rsidRPr="00D501AD" w:rsidRDefault="00E312C7" w:rsidP="00174F67">
      <w:pPr>
        <w:spacing w:after="0" w:line="240" w:lineRule="auto"/>
        <w:jc w:val="both"/>
        <w:rPr>
          <w:rFonts w:ascii="Arial" w:hAnsi="Arial" w:cs="Arial"/>
          <w:sz w:val="20"/>
          <w:szCs w:val="20"/>
        </w:rPr>
      </w:pPr>
    </w:p>
    <w:p w14:paraId="2C4F1C88"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Postulados básicos.</w:t>
      </w:r>
    </w:p>
    <w:p w14:paraId="72066140" w14:textId="77777777" w:rsidR="00174F67" w:rsidRPr="00D501AD" w:rsidRDefault="00174F67" w:rsidP="00E312C7">
      <w:pPr>
        <w:shd w:val="clear" w:color="auto" w:fill="FFFFFF"/>
        <w:spacing w:after="0" w:line="240" w:lineRule="auto"/>
        <w:ind w:firstLine="708"/>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Los postulados básicos del CONAC en lo que resulte aplicable</w:t>
      </w:r>
    </w:p>
    <w:p w14:paraId="79CDB7E7" w14:textId="77777777" w:rsidR="00174F67" w:rsidRDefault="00174F67" w:rsidP="00E312C7">
      <w:pPr>
        <w:shd w:val="clear" w:color="auto" w:fill="FFFFFF"/>
        <w:spacing w:after="0" w:line="240" w:lineRule="auto"/>
        <w:ind w:firstLine="708"/>
        <w:jc w:val="both"/>
        <w:rPr>
          <w:rFonts w:ascii="Arial" w:eastAsia="Times New Roman" w:hAnsi="Arial" w:cs="Arial"/>
          <w:color w:val="000000"/>
          <w:sz w:val="20"/>
          <w:szCs w:val="20"/>
          <w:lang w:eastAsia="es-MX"/>
        </w:rPr>
      </w:pPr>
      <w:r w:rsidRPr="00D501AD">
        <w:rPr>
          <w:rFonts w:ascii="Arial" w:eastAsia="Times New Roman" w:hAnsi="Arial" w:cs="Arial"/>
          <w:color w:val="000000"/>
          <w:sz w:val="20"/>
          <w:szCs w:val="20"/>
          <w:lang w:eastAsia="es-MX"/>
        </w:rPr>
        <w:t>Son los elementos fundamentales que configuran el SCG, teniendo incidencia en la identificación, el análisis, la interpretación, la captación, el procesamiento y el reconocimiento de las transformaciones, transacciones y otros eventos que afectan el ente público y sustentan de manera técnica el registro de las operaciones, la elaboración y presentación de estados financieros; basados en su razonamiento, eficiencia demostrada, respaldo en legislación especializada y aplicación de la Ley de Contabilidad, con la finalidad de uniformar los métodos, procedimientos y prácticas contables.</w:t>
      </w:r>
    </w:p>
    <w:p w14:paraId="704525DC" w14:textId="77777777" w:rsidR="00D92383" w:rsidRPr="00D501AD" w:rsidRDefault="00D92383" w:rsidP="00E312C7">
      <w:pPr>
        <w:shd w:val="clear" w:color="auto" w:fill="FFFFFF"/>
        <w:spacing w:after="0" w:line="240" w:lineRule="auto"/>
        <w:ind w:firstLine="708"/>
        <w:jc w:val="both"/>
        <w:rPr>
          <w:rFonts w:ascii="Arial" w:eastAsia="Times New Roman" w:hAnsi="Arial" w:cs="Arial"/>
          <w:color w:val="222222"/>
          <w:sz w:val="20"/>
          <w:szCs w:val="20"/>
          <w:lang w:eastAsia="es-MX"/>
        </w:rPr>
      </w:pPr>
    </w:p>
    <w:p w14:paraId="6415093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1) Sustancia Económica</w:t>
      </w:r>
    </w:p>
    <w:p w14:paraId="1610276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2) Entes Públicos</w:t>
      </w:r>
    </w:p>
    <w:p w14:paraId="04C5584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3) Existencia Permanente</w:t>
      </w:r>
    </w:p>
    <w:p w14:paraId="21D7F01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4) Revelación Suficiente</w:t>
      </w:r>
    </w:p>
    <w:p w14:paraId="74233FFB"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5) Importancia Relativa</w:t>
      </w:r>
    </w:p>
    <w:p w14:paraId="075A69E9"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6) Registro e Integración Presupuestaria</w:t>
      </w:r>
    </w:p>
    <w:p w14:paraId="329DCE8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7) Consolidación de la Información Financiera</w:t>
      </w:r>
    </w:p>
    <w:p w14:paraId="6B083A46"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8) Devengo Contable</w:t>
      </w:r>
    </w:p>
    <w:p w14:paraId="35B08298"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9) Valuación</w:t>
      </w:r>
    </w:p>
    <w:p w14:paraId="4F8EE21A" w14:textId="672FEF09" w:rsidR="00174F67" w:rsidRPr="00D501AD" w:rsidRDefault="00144572" w:rsidP="00144572">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10) Dualidad Económica</w:t>
      </w:r>
    </w:p>
    <w:p w14:paraId="3784D3F7" w14:textId="34F21DB6" w:rsidR="00174F67" w:rsidRPr="00D501AD" w:rsidRDefault="00144572" w:rsidP="00144572">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11) Consistencia</w:t>
      </w:r>
    </w:p>
    <w:p w14:paraId="7DC4805F"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 </w:t>
      </w:r>
    </w:p>
    <w:p w14:paraId="767DADF3" w14:textId="77777777" w:rsidR="00174F67" w:rsidRPr="00D501AD" w:rsidRDefault="00174F67" w:rsidP="00174F67">
      <w:pPr>
        <w:spacing w:after="0" w:line="240" w:lineRule="auto"/>
        <w:jc w:val="both"/>
        <w:rPr>
          <w:rFonts w:ascii="Arial" w:hAnsi="Arial" w:cs="Arial"/>
          <w:sz w:val="20"/>
          <w:szCs w:val="20"/>
        </w:rPr>
      </w:pPr>
    </w:p>
    <w:p w14:paraId="4E8743C7"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768D18D" w14:textId="0065D86F" w:rsidR="00EB6B7A" w:rsidRPr="00D501AD" w:rsidRDefault="00EB6B7A" w:rsidP="00EB6B7A">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C9302FD" w14:textId="77777777" w:rsidR="00EB6B7A" w:rsidRDefault="00EB6B7A" w:rsidP="00174F67">
      <w:pPr>
        <w:spacing w:after="0" w:line="240" w:lineRule="auto"/>
        <w:jc w:val="both"/>
        <w:rPr>
          <w:rFonts w:ascii="Arial" w:hAnsi="Arial" w:cs="Arial"/>
          <w:sz w:val="20"/>
          <w:szCs w:val="20"/>
        </w:rPr>
      </w:pPr>
    </w:p>
    <w:p w14:paraId="7B9890CB" w14:textId="053710FA"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*Revelar las nuevas políticas de reconocimiento:</w:t>
      </w:r>
    </w:p>
    <w:p w14:paraId="26F7A4DF" w14:textId="636DA528" w:rsidR="00174F67" w:rsidRPr="00D501AD" w:rsidRDefault="00174F67" w:rsidP="00174F67">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0B1FF37"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sz w:val="20"/>
          <w:szCs w:val="20"/>
        </w:rPr>
        <w:t>*Plan de implementación:</w:t>
      </w:r>
    </w:p>
    <w:p w14:paraId="6798AAC8" w14:textId="5E2242E8" w:rsidR="00174F67" w:rsidRPr="00D501AD" w:rsidRDefault="00174F67" w:rsidP="00174F67">
      <w:pPr>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3C7DC128" w14:textId="5F58BCF8" w:rsidR="00174F67" w:rsidRPr="00D501AD" w:rsidRDefault="00174F67" w:rsidP="00174F67">
      <w:pPr>
        <w:spacing w:after="0" w:line="240" w:lineRule="auto"/>
        <w:jc w:val="both"/>
        <w:rPr>
          <w:rFonts w:ascii="Arial" w:hAnsi="Arial" w:cs="Arial"/>
          <w:sz w:val="20"/>
          <w:szCs w:val="20"/>
        </w:rPr>
      </w:pPr>
      <w:r w:rsidRPr="00D501AD">
        <w:rPr>
          <w:rFonts w:ascii="Arial" w:hAnsi="Arial" w:cs="Arial"/>
          <w:sz w:val="20"/>
          <w:szCs w:val="20"/>
        </w:rPr>
        <w:t xml:space="preserve">*Revelar los cambios en las políticas, la clasificación y medición de </w:t>
      </w:r>
      <w:proofErr w:type="gramStart"/>
      <w:r w:rsidRPr="00D501AD">
        <w:rPr>
          <w:rFonts w:ascii="Arial" w:hAnsi="Arial" w:cs="Arial"/>
          <w:sz w:val="20"/>
          <w:szCs w:val="20"/>
        </w:rPr>
        <w:t>las</w:t>
      </w:r>
      <w:r w:rsidR="00EB6B7A">
        <w:rPr>
          <w:rFonts w:ascii="Arial" w:hAnsi="Arial" w:cs="Arial"/>
          <w:sz w:val="20"/>
          <w:szCs w:val="20"/>
        </w:rPr>
        <w:t xml:space="preserve"> </w:t>
      </w:r>
      <w:r w:rsidRPr="00D501AD">
        <w:rPr>
          <w:rFonts w:ascii="Arial" w:hAnsi="Arial" w:cs="Arial"/>
          <w:sz w:val="20"/>
          <w:szCs w:val="20"/>
        </w:rPr>
        <w:t>mismas</w:t>
      </w:r>
      <w:proofErr w:type="gramEnd"/>
      <w:r w:rsidRPr="00D501AD">
        <w:rPr>
          <w:rFonts w:ascii="Arial" w:hAnsi="Arial" w:cs="Arial"/>
          <w:sz w:val="20"/>
          <w:szCs w:val="20"/>
        </w:rPr>
        <w:t>, así como su impacto en la información financiera:</w:t>
      </w:r>
    </w:p>
    <w:p w14:paraId="3F67E64F" w14:textId="697F9273" w:rsidR="00174F67" w:rsidRPr="00D501AD" w:rsidRDefault="00174F67" w:rsidP="00174F67">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0FFB492E" w14:textId="77777777" w:rsidR="00174F67" w:rsidRDefault="00174F67" w:rsidP="00174F67">
      <w:pPr>
        <w:spacing w:after="0" w:line="240" w:lineRule="auto"/>
        <w:jc w:val="both"/>
        <w:rPr>
          <w:rFonts w:ascii="Arial" w:hAnsi="Arial" w:cs="Arial"/>
          <w:sz w:val="20"/>
          <w:szCs w:val="20"/>
        </w:rPr>
      </w:pPr>
    </w:p>
    <w:p w14:paraId="17E4E804" w14:textId="77777777" w:rsidR="00B60E68" w:rsidRDefault="00B60E68" w:rsidP="007D1E76">
      <w:pPr>
        <w:spacing w:after="0" w:line="240" w:lineRule="auto"/>
        <w:jc w:val="both"/>
        <w:rPr>
          <w:rFonts w:ascii="Arial" w:hAnsi="Arial" w:cs="Arial"/>
          <w:b/>
          <w:sz w:val="20"/>
          <w:szCs w:val="20"/>
        </w:rPr>
      </w:pPr>
    </w:p>
    <w:p w14:paraId="7025E7E0" w14:textId="6FA66D58" w:rsidR="007D1E76" w:rsidRPr="00D501AD" w:rsidRDefault="00D75EFB" w:rsidP="007D1E76">
      <w:pPr>
        <w:spacing w:after="0" w:line="240" w:lineRule="auto"/>
        <w:jc w:val="both"/>
        <w:rPr>
          <w:rFonts w:ascii="Arial" w:hAnsi="Arial" w:cs="Arial"/>
          <w:b/>
          <w:sz w:val="20"/>
          <w:szCs w:val="20"/>
        </w:rPr>
      </w:pPr>
      <w:r>
        <w:rPr>
          <w:rFonts w:ascii="Arial" w:hAnsi="Arial" w:cs="Arial"/>
          <w:b/>
          <w:sz w:val="20"/>
          <w:szCs w:val="20"/>
        </w:rPr>
        <w:t>5</w:t>
      </w:r>
      <w:r w:rsidR="007D1E76" w:rsidRPr="00D501AD">
        <w:rPr>
          <w:rFonts w:ascii="Arial" w:hAnsi="Arial" w:cs="Arial"/>
          <w:b/>
          <w:sz w:val="20"/>
          <w:szCs w:val="20"/>
        </w:rPr>
        <w:t>. Políticas de</w:t>
      </w:r>
      <w:r w:rsidR="00E00323" w:rsidRPr="00D501AD">
        <w:rPr>
          <w:rFonts w:ascii="Arial" w:hAnsi="Arial" w:cs="Arial"/>
          <w:b/>
          <w:sz w:val="20"/>
          <w:szCs w:val="20"/>
        </w:rPr>
        <w:t xml:space="preserve"> Contabilidad Significativas:</w:t>
      </w:r>
    </w:p>
    <w:p w14:paraId="3A8D7951" w14:textId="77777777" w:rsidR="007D1E76" w:rsidRPr="00D501AD" w:rsidRDefault="007D1E76" w:rsidP="007D1E76">
      <w:pPr>
        <w:spacing w:after="0" w:line="240" w:lineRule="auto"/>
        <w:jc w:val="both"/>
        <w:rPr>
          <w:rFonts w:ascii="Arial" w:hAnsi="Arial" w:cs="Arial"/>
          <w:sz w:val="20"/>
          <w:szCs w:val="20"/>
        </w:rPr>
      </w:pPr>
    </w:p>
    <w:p w14:paraId="6073F87B" w14:textId="6FDF74D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Actualización: se informa del método utilizado para la actualización del valor de los activos, pasivos y Hacienda Pública/</w:t>
      </w:r>
      <w:r w:rsidR="00657009" w:rsidRPr="00D501AD">
        <w:rPr>
          <w:rFonts w:ascii="Arial" w:hAnsi="Arial" w:cs="Arial"/>
          <w:sz w:val="20"/>
          <w:szCs w:val="20"/>
        </w:rPr>
        <w:t>P</w:t>
      </w:r>
      <w:r w:rsidRPr="00D501AD">
        <w:rPr>
          <w:rFonts w:ascii="Arial" w:hAnsi="Arial" w:cs="Arial"/>
          <w:sz w:val="20"/>
          <w:szCs w:val="20"/>
        </w:rPr>
        <w:t>atrimonio y las razones de dicha elección. Así como informar de la desconexión o reconexión inflacionaria:</w:t>
      </w:r>
    </w:p>
    <w:p w14:paraId="0D695F0E" w14:textId="4A7AF115" w:rsidR="00EB6B7A" w:rsidRPr="00D501AD" w:rsidRDefault="00EB6B7A" w:rsidP="00EB6B7A">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D36EC12" w14:textId="77777777" w:rsidR="00661ACA" w:rsidRDefault="00661ACA" w:rsidP="00C53996">
      <w:pPr>
        <w:spacing w:after="0" w:line="240" w:lineRule="auto"/>
        <w:jc w:val="both"/>
        <w:rPr>
          <w:rFonts w:ascii="Arial" w:hAnsi="Arial" w:cs="Arial"/>
          <w:sz w:val="20"/>
          <w:szCs w:val="20"/>
        </w:rPr>
      </w:pPr>
    </w:p>
    <w:p w14:paraId="3D8017C2"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Informar sobre la realización de operaciones en el extranjero y de sus efectos en la información financiera gubernamental:</w:t>
      </w:r>
    </w:p>
    <w:p w14:paraId="1E70630C" w14:textId="0C6CF18A" w:rsidR="00EB6B7A" w:rsidRPr="00D501AD" w:rsidRDefault="00EB6B7A" w:rsidP="00EB6B7A">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35FCED94" w14:textId="77777777" w:rsidR="007D1E76" w:rsidRPr="00D501AD" w:rsidRDefault="007D1E76" w:rsidP="007D1E76">
      <w:pPr>
        <w:spacing w:after="0" w:line="240" w:lineRule="auto"/>
        <w:jc w:val="both"/>
        <w:rPr>
          <w:rFonts w:ascii="Arial" w:hAnsi="Arial" w:cs="Arial"/>
          <w:sz w:val="20"/>
          <w:szCs w:val="20"/>
        </w:rPr>
      </w:pPr>
    </w:p>
    <w:p w14:paraId="433324F3"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Método de valuación de la inversión en acciones de Compañías subsidiarias no consolidadas y asociadas:</w:t>
      </w:r>
    </w:p>
    <w:p w14:paraId="5989FFDE" w14:textId="0020FBEA"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4457336" w14:textId="02F70511" w:rsidR="00354B23" w:rsidRPr="00D501AD" w:rsidRDefault="00354B23" w:rsidP="00354B23">
      <w:pPr>
        <w:spacing w:after="0" w:line="240" w:lineRule="auto"/>
        <w:jc w:val="both"/>
        <w:rPr>
          <w:rFonts w:ascii="Arial" w:hAnsi="Arial" w:cs="Arial"/>
          <w:sz w:val="20"/>
          <w:szCs w:val="20"/>
        </w:rPr>
      </w:pPr>
    </w:p>
    <w:p w14:paraId="7AB12262"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Sistema y método de valuación de inventarios y costo de lo vendido:</w:t>
      </w:r>
    </w:p>
    <w:p w14:paraId="1E29C550" w14:textId="4C1942B5"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B282127" w14:textId="77777777" w:rsidR="007D1E76" w:rsidRPr="00D501AD" w:rsidRDefault="007D1E76" w:rsidP="007D1E76">
      <w:pPr>
        <w:spacing w:after="0" w:line="240" w:lineRule="auto"/>
        <w:jc w:val="both"/>
        <w:rPr>
          <w:rFonts w:ascii="Arial" w:hAnsi="Arial" w:cs="Arial"/>
          <w:sz w:val="20"/>
          <w:szCs w:val="20"/>
        </w:rPr>
      </w:pPr>
    </w:p>
    <w:p w14:paraId="1D8C904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9A642BF" w14:textId="2F698571" w:rsidR="00354B23" w:rsidRPr="00D501AD" w:rsidRDefault="00E64D40" w:rsidP="00354B23">
      <w:pPr>
        <w:jc w:val="both"/>
        <w:rPr>
          <w:rFonts w:ascii="Arial" w:hAnsi="Arial" w:cs="Arial"/>
          <w:sz w:val="20"/>
          <w:szCs w:val="20"/>
        </w:rPr>
      </w:pPr>
      <w:r w:rsidRPr="00D501AD">
        <w:rPr>
          <w:rFonts w:ascii="Arial" w:hAnsi="Arial" w:cs="Arial"/>
          <w:sz w:val="20"/>
          <w:szCs w:val="20"/>
        </w:rPr>
        <w:t>El TJ</w:t>
      </w:r>
      <w:r w:rsidR="00354B23" w:rsidRPr="00D501AD">
        <w:rPr>
          <w:rFonts w:ascii="Arial" w:hAnsi="Arial" w:cs="Arial"/>
          <w:sz w:val="20"/>
          <w:szCs w:val="20"/>
        </w:rPr>
        <w:t>A otorga el programa de becas para empleados y trabajadores así como el seguro de gastos médicos mayores para empleados.</w:t>
      </w:r>
    </w:p>
    <w:p w14:paraId="6113C381"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Provisiones: objetivo de su creación, monto y plazo:</w:t>
      </w:r>
    </w:p>
    <w:p w14:paraId="740C6AF6" w14:textId="79B17494" w:rsidR="00354B23" w:rsidRPr="00D501AD" w:rsidRDefault="004D6B84" w:rsidP="00354B23">
      <w:pPr>
        <w:jc w:val="both"/>
        <w:rPr>
          <w:rFonts w:ascii="Arial" w:hAnsi="Arial" w:cs="Arial"/>
          <w:sz w:val="20"/>
          <w:szCs w:val="20"/>
        </w:rPr>
      </w:pPr>
      <w:r>
        <w:rPr>
          <w:rFonts w:ascii="Arial" w:hAnsi="Arial" w:cs="Arial"/>
          <w:sz w:val="20"/>
          <w:szCs w:val="20"/>
        </w:rPr>
        <w:t>S</w:t>
      </w:r>
      <w:r w:rsidR="00354B23" w:rsidRPr="00D501AD">
        <w:rPr>
          <w:rFonts w:ascii="Arial" w:hAnsi="Arial" w:cs="Arial"/>
          <w:sz w:val="20"/>
          <w:szCs w:val="20"/>
        </w:rPr>
        <w:t xml:space="preserve">e cuenta </w:t>
      </w:r>
      <w:r>
        <w:rPr>
          <w:rFonts w:ascii="Arial" w:hAnsi="Arial" w:cs="Arial"/>
          <w:sz w:val="20"/>
          <w:szCs w:val="20"/>
        </w:rPr>
        <w:t xml:space="preserve">con un </w:t>
      </w:r>
      <w:r w:rsidR="00354B23" w:rsidRPr="00D501AD">
        <w:rPr>
          <w:rFonts w:ascii="Arial" w:hAnsi="Arial" w:cs="Arial"/>
          <w:sz w:val="20"/>
          <w:szCs w:val="20"/>
        </w:rPr>
        <w:t xml:space="preserve">Fondo de Pasivos Laborales, cuyo objeto es </w:t>
      </w:r>
      <w:r>
        <w:rPr>
          <w:rFonts w:ascii="Arial" w:hAnsi="Arial" w:cs="Arial"/>
          <w:sz w:val="20"/>
          <w:szCs w:val="20"/>
        </w:rPr>
        <w:t>provisionar recursos presupuestales destinados a cubrir a todo servidor público adscrito al</w:t>
      </w:r>
      <w:r w:rsidR="00144572">
        <w:rPr>
          <w:rFonts w:ascii="Arial" w:hAnsi="Arial" w:cs="Arial"/>
          <w:sz w:val="20"/>
          <w:szCs w:val="20"/>
        </w:rPr>
        <w:t xml:space="preserve"> Tribunal</w:t>
      </w:r>
      <w:r>
        <w:rPr>
          <w:rFonts w:ascii="Arial" w:hAnsi="Arial" w:cs="Arial"/>
          <w:sz w:val="20"/>
          <w:szCs w:val="20"/>
        </w:rPr>
        <w:t>, los importes económicos resultantes de pasivos laborales con motivo de la conclusión del vínculo laboral; con un</w:t>
      </w:r>
      <w:r w:rsidR="00354B23" w:rsidRPr="00D501AD">
        <w:rPr>
          <w:rFonts w:ascii="Arial" w:hAnsi="Arial" w:cs="Arial"/>
          <w:sz w:val="20"/>
          <w:szCs w:val="20"/>
        </w:rPr>
        <w:t xml:space="preserve"> plazo</w:t>
      </w:r>
      <w:r>
        <w:rPr>
          <w:rFonts w:ascii="Arial" w:hAnsi="Arial" w:cs="Arial"/>
          <w:sz w:val="20"/>
          <w:szCs w:val="20"/>
        </w:rPr>
        <w:t xml:space="preserve"> </w:t>
      </w:r>
      <w:r w:rsidR="00354B23" w:rsidRPr="00D501AD">
        <w:rPr>
          <w:rFonts w:ascii="Arial" w:hAnsi="Arial" w:cs="Arial"/>
          <w:sz w:val="20"/>
          <w:szCs w:val="20"/>
        </w:rPr>
        <w:t>indefinido</w:t>
      </w:r>
      <w:r w:rsidR="00441283">
        <w:rPr>
          <w:rFonts w:ascii="Arial" w:hAnsi="Arial" w:cs="Arial"/>
          <w:sz w:val="20"/>
          <w:szCs w:val="20"/>
        </w:rPr>
        <w:t xml:space="preserve">, </w:t>
      </w:r>
      <w:r>
        <w:rPr>
          <w:rFonts w:ascii="Arial" w:hAnsi="Arial" w:cs="Arial"/>
          <w:sz w:val="20"/>
          <w:szCs w:val="20"/>
        </w:rPr>
        <w:t>su</w:t>
      </w:r>
      <w:r w:rsidR="00441283">
        <w:rPr>
          <w:rFonts w:ascii="Arial" w:hAnsi="Arial" w:cs="Arial"/>
          <w:sz w:val="20"/>
          <w:szCs w:val="20"/>
        </w:rPr>
        <w:t xml:space="preserve"> monto</w:t>
      </w:r>
      <w:r>
        <w:rPr>
          <w:rFonts w:ascii="Arial" w:hAnsi="Arial" w:cs="Arial"/>
          <w:sz w:val="20"/>
          <w:szCs w:val="20"/>
        </w:rPr>
        <w:t xml:space="preserve"> asciende a</w:t>
      </w:r>
      <w:r w:rsidR="003F1D43">
        <w:rPr>
          <w:rFonts w:ascii="Arial" w:hAnsi="Arial" w:cs="Arial"/>
          <w:sz w:val="20"/>
          <w:szCs w:val="20"/>
        </w:rPr>
        <w:t xml:space="preserve"> $</w:t>
      </w:r>
      <w:r w:rsidR="00312888">
        <w:rPr>
          <w:rFonts w:ascii="Arial" w:hAnsi="Arial" w:cs="Arial"/>
          <w:sz w:val="20"/>
          <w:szCs w:val="20"/>
        </w:rPr>
        <w:t>9,483,079.16</w:t>
      </w:r>
      <w:r w:rsidR="00441283">
        <w:rPr>
          <w:rFonts w:ascii="Arial" w:hAnsi="Arial" w:cs="Arial"/>
          <w:sz w:val="20"/>
          <w:szCs w:val="20"/>
        </w:rPr>
        <w:t xml:space="preserve"> (</w:t>
      </w:r>
      <w:r w:rsidR="00312888">
        <w:rPr>
          <w:rFonts w:ascii="Arial" w:hAnsi="Arial" w:cs="Arial"/>
          <w:sz w:val="20"/>
          <w:szCs w:val="20"/>
        </w:rPr>
        <w:t>nueve millones cuatrocientos ochenta y tres mil setenta y nueve</w:t>
      </w:r>
      <w:r w:rsidR="00441283">
        <w:rPr>
          <w:rFonts w:ascii="Arial" w:hAnsi="Arial" w:cs="Arial"/>
          <w:sz w:val="20"/>
          <w:szCs w:val="20"/>
        </w:rPr>
        <w:t xml:space="preserve"> pesos </w:t>
      </w:r>
      <w:r w:rsidR="00312888">
        <w:rPr>
          <w:rFonts w:ascii="Arial" w:hAnsi="Arial" w:cs="Arial"/>
          <w:sz w:val="20"/>
          <w:szCs w:val="20"/>
        </w:rPr>
        <w:t>16</w:t>
      </w:r>
      <w:r w:rsidR="00441283">
        <w:rPr>
          <w:rFonts w:ascii="Arial" w:hAnsi="Arial" w:cs="Arial"/>
          <w:sz w:val="20"/>
          <w:szCs w:val="20"/>
        </w:rPr>
        <w:t>/100 m.n.)</w:t>
      </w:r>
      <w:r>
        <w:rPr>
          <w:rFonts w:ascii="Arial" w:hAnsi="Arial" w:cs="Arial"/>
          <w:sz w:val="20"/>
          <w:szCs w:val="20"/>
        </w:rPr>
        <w:t>, mismo que incluye los intereses generados por la cuenta de inversión que los concentra.</w:t>
      </w:r>
    </w:p>
    <w:p w14:paraId="4190001D"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Reservas: objetivo de su creación, monto y plazo:</w:t>
      </w:r>
    </w:p>
    <w:p w14:paraId="65CB3E94" w14:textId="67EEF742"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701B0CE" w14:textId="77777777" w:rsidR="00F61492" w:rsidRDefault="00F61492" w:rsidP="007D1E76">
      <w:pPr>
        <w:spacing w:after="0" w:line="240" w:lineRule="auto"/>
        <w:jc w:val="both"/>
        <w:rPr>
          <w:rFonts w:ascii="Arial" w:hAnsi="Arial" w:cs="Arial"/>
          <w:b/>
          <w:sz w:val="20"/>
          <w:szCs w:val="20"/>
        </w:rPr>
      </w:pPr>
    </w:p>
    <w:p w14:paraId="6E497DBB" w14:textId="412C994B"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h)</w:t>
      </w:r>
      <w:r w:rsidRPr="00D501AD">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6E8B184" w14:textId="559084CE"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266E47A" w14:textId="77777777" w:rsidR="00F61492" w:rsidRPr="00D501AD" w:rsidRDefault="00F61492" w:rsidP="00F61492">
      <w:pPr>
        <w:spacing w:after="0" w:line="240" w:lineRule="auto"/>
        <w:jc w:val="both"/>
        <w:rPr>
          <w:rFonts w:ascii="Arial" w:hAnsi="Arial" w:cs="Arial"/>
          <w:sz w:val="20"/>
          <w:szCs w:val="20"/>
        </w:rPr>
      </w:pPr>
    </w:p>
    <w:p w14:paraId="12C8FA9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i)</w:t>
      </w:r>
      <w:r w:rsidRPr="00D501AD">
        <w:rPr>
          <w:rFonts w:ascii="Arial" w:hAnsi="Arial" w:cs="Arial"/>
          <w:sz w:val="20"/>
          <w:szCs w:val="20"/>
        </w:rPr>
        <w:t xml:space="preserve"> Reclasificaciones: Se deben revelar todos aquellos movimientos entre cuentas por efectos de cambios en los tipos de operaciones:</w:t>
      </w:r>
    </w:p>
    <w:p w14:paraId="12ABD45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19F3150A" w14:textId="77777777" w:rsidR="00F61492" w:rsidRDefault="00F61492" w:rsidP="007D1E76">
      <w:pPr>
        <w:spacing w:after="0" w:line="240" w:lineRule="auto"/>
        <w:jc w:val="both"/>
        <w:rPr>
          <w:rFonts w:ascii="Arial" w:hAnsi="Arial" w:cs="Arial"/>
          <w:b/>
          <w:sz w:val="20"/>
          <w:szCs w:val="20"/>
        </w:rPr>
      </w:pPr>
    </w:p>
    <w:p w14:paraId="5405EF84" w14:textId="64FEB1AD"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j)</w:t>
      </w:r>
      <w:r w:rsidRPr="00D501AD">
        <w:rPr>
          <w:rFonts w:ascii="Arial" w:hAnsi="Arial" w:cs="Arial"/>
          <w:sz w:val="20"/>
          <w:szCs w:val="20"/>
        </w:rPr>
        <w:t xml:space="preserve"> Depuración y cancelación de saldos:</w:t>
      </w:r>
    </w:p>
    <w:p w14:paraId="4788F30A"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51C6058" w14:textId="77777777" w:rsidR="00E00323" w:rsidRPr="00D501AD" w:rsidRDefault="00E00323" w:rsidP="007D1E76">
      <w:pPr>
        <w:spacing w:after="0" w:line="240" w:lineRule="auto"/>
        <w:jc w:val="both"/>
        <w:rPr>
          <w:rFonts w:ascii="Arial" w:hAnsi="Arial" w:cs="Arial"/>
          <w:sz w:val="20"/>
          <w:szCs w:val="20"/>
        </w:rPr>
      </w:pPr>
    </w:p>
    <w:p w14:paraId="2658F286" w14:textId="77777777" w:rsidR="00F61492" w:rsidRDefault="00F61492" w:rsidP="007D1E76">
      <w:pPr>
        <w:spacing w:after="0" w:line="240" w:lineRule="auto"/>
        <w:jc w:val="both"/>
        <w:rPr>
          <w:rFonts w:ascii="Arial" w:hAnsi="Arial" w:cs="Arial"/>
          <w:b/>
          <w:sz w:val="20"/>
          <w:szCs w:val="20"/>
        </w:rPr>
      </w:pPr>
    </w:p>
    <w:p w14:paraId="4D3B40DA" w14:textId="77777777" w:rsidR="00AD52FA" w:rsidRDefault="00AD52FA" w:rsidP="007D1E76">
      <w:pPr>
        <w:spacing w:after="0" w:line="240" w:lineRule="auto"/>
        <w:jc w:val="both"/>
        <w:rPr>
          <w:rFonts w:ascii="Arial" w:hAnsi="Arial" w:cs="Arial"/>
          <w:b/>
          <w:sz w:val="20"/>
          <w:szCs w:val="20"/>
        </w:rPr>
      </w:pPr>
    </w:p>
    <w:p w14:paraId="2CA8BAC1" w14:textId="342D69A9" w:rsidR="007D1E76" w:rsidRPr="00D501AD" w:rsidRDefault="00D75EFB" w:rsidP="007D1E76">
      <w:pPr>
        <w:spacing w:after="0" w:line="240" w:lineRule="auto"/>
        <w:jc w:val="both"/>
        <w:rPr>
          <w:rFonts w:ascii="Arial" w:hAnsi="Arial" w:cs="Arial"/>
          <w:b/>
          <w:sz w:val="20"/>
          <w:szCs w:val="20"/>
        </w:rPr>
      </w:pPr>
      <w:r>
        <w:rPr>
          <w:rFonts w:ascii="Arial" w:hAnsi="Arial" w:cs="Arial"/>
          <w:b/>
          <w:sz w:val="20"/>
          <w:szCs w:val="20"/>
        </w:rPr>
        <w:t>6</w:t>
      </w:r>
      <w:r w:rsidR="007D1E76" w:rsidRPr="00D501AD">
        <w:rPr>
          <w:rFonts w:ascii="Arial" w:hAnsi="Arial" w:cs="Arial"/>
          <w:b/>
          <w:sz w:val="20"/>
          <w:szCs w:val="20"/>
        </w:rPr>
        <w:t>. Posición en Moneda Extranjera y Pro</w:t>
      </w:r>
      <w:r w:rsidR="00E00323" w:rsidRPr="00D501AD">
        <w:rPr>
          <w:rFonts w:ascii="Arial" w:hAnsi="Arial" w:cs="Arial"/>
          <w:b/>
          <w:sz w:val="20"/>
          <w:szCs w:val="20"/>
        </w:rPr>
        <w:t>tección por Riesgo Cambiario:</w:t>
      </w:r>
    </w:p>
    <w:p w14:paraId="7E8BC54D" w14:textId="77777777" w:rsidR="007D1E76" w:rsidRPr="00D501AD" w:rsidRDefault="007D1E76" w:rsidP="007D1E76">
      <w:pPr>
        <w:spacing w:after="0" w:line="240" w:lineRule="auto"/>
        <w:jc w:val="both"/>
        <w:rPr>
          <w:rFonts w:ascii="Arial" w:hAnsi="Arial" w:cs="Arial"/>
          <w:sz w:val="20"/>
          <w:szCs w:val="20"/>
        </w:rPr>
      </w:pPr>
    </w:p>
    <w:p w14:paraId="531D25F7"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Activos en moneda extranjera:</w:t>
      </w:r>
    </w:p>
    <w:p w14:paraId="283E5A03"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DE7D6D4" w14:textId="77777777" w:rsidR="00F61492" w:rsidRDefault="00F61492" w:rsidP="007D1E76">
      <w:pPr>
        <w:spacing w:after="0" w:line="240" w:lineRule="auto"/>
        <w:jc w:val="both"/>
        <w:rPr>
          <w:rFonts w:ascii="Arial" w:hAnsi="Arial" w:cs="Arial"/>
          <w:b/>
          <w:sz w:val="20"/>
          <w:szCs w:val="20"/>
        </w:rPr>
      </w:pPr>
    </w:p>
    <w:p w14:paraId="7E447291" w14:textId="7B0FF2F0"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Pasivos en moneda extranjera:</w:t>
      </w:r>
    </w:p>
    <w:p w14:paraId="4694FC1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AAF2C6B" w14:textId="77777777" w:rsidR="00F61492" w:rsidRDefault="00F61492" w:rsidP="007D1E76">
      <w:pPr>
        <w:spacing w:after="0" w:line="240" w:lineRule="auto"/>
        <w:jc w:val="both"/>
        <w:rPr>
          <w:rFonts w:ascii="Arial" w:hAnsi="Arial" w:cs="Arial"/>
          <w:b/>
          <w:sz w:val="20"/>
          <w:szCs w:val="20"/>
        </w:rPr>
      </w:pPr>
    </w:p>
    <w:p w14:paraId="6E3298C9" w14:textId="5C97E81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c) </w:t>
      </w:r>
      <w:r w:rsidRPr="00D501AD">
        <w:rPr>
          <w:rFonts w:ascii="Arial" w:hAnsi="Arial" w:cs="Arial"/>
          <w:sz w:val="20"/>
          <w:szCs w:val="20"/>
        </w:rPr>
        <w:t>Posición en moneda extranjera:</w:t>
      </w:r>
    </w:p>
    <w:p w14:paraId="4F35FFD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783A968D" w14:textId="77777777" w:rsidR="00F61492" w:rsidRDefault="00F61492" w:rsidP="007D1E76">
      <w:pPr>
        <w:spacing w:after="0" w:line="240" w:lineRule="auto"/>
        <w:jc w:val="both"/>
        <w:rPr>
          <w:rFonts w:ascii="Arial" w:hAnsi="Arial" w:cs="Arial"/>
          <w:b/>
          <w:sz w:val="20"/>
          <w:szCs w:val="20"/>
        </w:rPr>
      </w:pPr>
    </w:p>
    <w:p w14:paraId="61291BC6" w14:textId="65A4A429"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Tipo de cambio:</w:t>
      </w:r>
    </w:p>
    <w:p w14:paraId="02DA135A"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304CCFE" w14:textId="77777777" w:rsidR="00F61492" w:rsidRDefault="00F61492" w:rsidP="007D1E76">
      <w:pPr>
        <w:spacing w:after="0" w:line="240" w:lineRule="auto"/>
        <w:jc w:val="both"/>
        <w:rPr>
          <w:rFonts w:ascii="Arial" w:hAnsi="Arial" w:cs="Arial"/>
          <w:b/>
          <w:sz w:val="20"/>
          <w:szCs w:val="20"/>
        </w:rPr>
      </w:pPr>
    </w:p>
    <w:p w14:paraId="2878D6F1" w14:textId="032524E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e) </w:t>
      </w:r>
      <w:r w:rsidRPr="00D501AD">
        <w:rPr>
          <w:rFonts w:ascii="Arial" w:hAnsi="Arial" w:cs="Arial"/>
          <w:sz w:val="20"/>
          <w:szCs w:val="20"/>
        </w:rPr>
        <w:t>Equivalente en moneda nacional:</w:t>
      </w:r>
    </w:p>
    <w:p w14:paraId="7BE45F98"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86715C3" w14:textId="77777777" w:rsidR="001A4B1E" w:rsidRDefault="001A4B1E" w:rsidP="007D1E76">
      <w:pPr>
        <w:spacing w:after="0" w:line="240" w:lineRule="auto"/>
        <w:jc w:val="both"/>
        <w:rPr>
          <w:rFonts w:ascii="Arial" w:hAnsi="Arial" w:cs="Arial"/>
          <w:b/>
          <w:sz w:val="20"/>
          <w:szCs w:val="20"/>
        </w:rPr>
      </w:pPr>
    </w:p>
    <w:p w14:paraId="095853FE" w14:textId="03D31443" w:rsidR="007D1E76" w:rsidRPr="00D501AD" w:rsidRDefault="00DB309E" w:rsidP="007D1E76">
      <w:pPr>
        <w:spacing w:after="0" w:line="240" w:lineRule="auto"/>
        <w:jc w:val="both"/>
        <w:rPr>
          <w:rFonts w:ascii="Arial" w:hAnsi="Arial" w:cs="Arial"/>
          <w:b/>
          <w:sz w:val="20"/>
          <w:szCs w:val="20"/>
        </w:rPr>
      </w:pPr>
      <w:r>
        <w:rPr>
          <w:rFonts w:ascii="Arial" w:hAnsi="Arial" w:cs="Arial"/>
          <w:b/>
          <w:sz w:val="20"/>
          <w:szCs w:val="20"/>
        </w:rPr>
        <w:t>7</w:t>
      </w:r>
      <w:r w:rsidR="007D1E76" w:rsidRPr="00D501AD">
        <w:rPr>
          <w:rFonts w:ascii="Arial" w:hAnsi="Arial" w:cs="Arial"/>
          <w:b/>
          <w:sz w:val="20"/>
          <w:szCs w:val="20"/>
        </w:rPr>
        <w:t xml:space="preserve">. </w:t>
      </w:r>
      <w:r w:rsidR="00E00323" w:rsidRPr="00D501AD">
        <w:rPr>
          <w:rFonts w:ascii="Arial" w:hAnsi="Arial" w:cs="Arial"/>
          <w:b/>
          <w:sz w:val="20"/>
          <w:szCs w:val="20"/>
        </w:rPr>
        <w:t>Reporte Analítico del Activo:</w:t>
      </w:r>
    </w:p>
    <w:p w14:paraId="1C9AE80E" w14:textId="77777777" w:rsidR="007D1E76" w:rsidRPr="00D501AD" w:rsidRDefault="007D1E76" w:rsidP="007D1E76">
      <w:pPr>
        <w:spacing w:after="0" w:line="240" w:lineRule="auto"/>
        <w:jc w:val="both"/>
        <w:rPr>
          <w:rFonts w:ascii="Arial" w:hAnsi="Arial" w:cs="Arial"/>
          <w:sz w:val="20"/>
          <w:szCs w:val="20"/>
        </w:rPr>
      </w:pPr>
    </w:p>
    <w:p w14:paraId="721E8A1F"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Vida útil o porcentajes de depreciación, deterioro o amortización utilizados en los diferentes tipos de activos:</w:t>
      </w:r>
    </w:p>
    <w:p w14:paraId="169C7AE5" w14:textId="3AF1E389" w:rsidR="00284FB5" w:rsidRPr="00D501AD" w:rsidRDefault="00284FB5" w:rsidP="00284FB5">
      <w:pPr>
        <w:jc w:val="both"/>
        <w:rPr>
          <w:rFonts w:ascii="Arial" w:hAnsi="Arial" w:cs="Arial"/>
          <w:sz w:val="20"/>
          <w:szCs w:val="20"/>
        </w:rPr>
      </w:pPr>
      <w:r w:rsidRPr="00D501AD">
        <w:rPr>
          <w:rFonts w:ascii="Arial" w:hAnsi="Arial" w:cs="Arial"/>
          <w:sz w:val="20"/>
          <w:szCs w:val="20"/>
        </w:rPr>
        <w:t xml:space="preserve">SE UTILIZA </w:t>
      </w:r>
      <w:r w:rsidR="00B32F9A" w:rsidRPr="00D501AD">
        <w:rPr>
          <w:rFonts w:ascii="Arial" w:hAnsi="Arial" w:cs="Arial"/>
          <w:sz w:val="20"/>
          <w:szCs w:val="20"/>
        </w:rPr>
        <w:t>EL METODO DE LINEA RECTA POR TAS</w:t>
      </w:r>
      <w:r w:rsidRPr="00D501AD">
        <w:rPr>
          <w:rFonts w:ascii="Arial" w:hAnsi="Arial" w:cs="Arial"/>
          <w:sz w:val="20"/>
          <w:szCs w:val="20"/>
        </w:rPr>
        <w:t>AS FISCALES A MESES COMPLETOS.</w:t>
      </w:r>
    </w:p>
    <w:p w14:paraId="775FC11C" w14:textId="77777777" w:rsidR="0087256B" w:rsidRDefault="0087256B" w:rsidP="007D1E76">
      <w:pPr>
        <w:spacing w:after="0" w:line="240" w:lineRule="auto"/>
        <w:jc w:val="both"/>
        <w:rPr>
          <w:rFonts w:ascii="Arial" w:hAnsi="Arial" w:cs="Arial"/>
          <w:b/>
          <w:sz w:val="20"/>
          <w:szCs w:val="20"/>
        </w:rPr>
      </w:pPr>
    </w:p>
    <w:p w14:paraId="7FD13FA2" w14:textId="6A91D330"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Cambios en el porcentaje de depreciación o valor residual de los activos:</w:t>
      </w:r>
    </w:p>
    <w:p w14:paraId="4270336A" w14:textId="5E566A2B" w:rsidR="00284FB5" w:rsidRPr="00D501AD" w:rsidRDefault="00E312C7" w:rsidP="00284FB5">
      <w:pPr>
        <w:jc w:val="both"/>
        <w:rPr>
          <w:rFonts w:ascii="Arial" w:hAnsi="Arial" w:cs="Arial"/>
          <w:sz w:val="20"/>
          <w:szCs w:val="20"/>
        </w:rPr>
      </w:pPr>
      <w:r>
        <w:rPr>
          <w:rFonts w:ascii="Arial" w:hAnsi="Arial" w:cs="Arial"/>
          <w:sz w:val="20"/>
          <w:szCs w:val="20"/>
        </w:rPr>
        <w:t>La depreciación en el año 202</w:t>
      </w:r>
      <w:r w:rsidR="00A6458C">
        <w:rPr>
          <w:rFonts w:ascii="Arial" w:hAnsi="Arial" w:cs="Arial"/>
          <w:sz w:val="20"/>
          <w:szCs w:val="20"/>
        </w:rPr>
        <w:t>5</w:t>
      </w:r>
      <w:r w:rsidR="00284FB5" w:rsidRPr="00D501AD">
        <w:rPr>
          <w:rFonts w:ascii="Arial" w:hAnsi="Arial" w:cs="Arial"/>
          <w:sz w:val="20"/>
          <w:szCs w:val="20"/>
        </w:rPr>
        <w:t xml:space="preserve"> se realizar</w:t>
      </w:r>
      <w:r w:rsidR="00781B59">
        <w:rPr>
          <w:rFonts w:ascii="Arial" w:hAnsi="Arial" w:cs="Arial"/>
          <w:sz w:val="20"/>
          <w:szCs w:val="20"/>
        </w:rPr>
        <w:t>á</w:t>
      </w:r>
      <w:r w:rsidR="00284FB5" w:rsidRPr="00D501AD">
        <w:rPr>
          <w:rFonts w:ascii="Arial" w:hAnsi="Arial" w:cs="Arial"/>
          <w:sz w:val="20"/>
          <w:szCs w:val="20"/>
        </w:rPr>
        <w:t xml:space="preserve"> mensualmente.</w:t>
      </w:r>
    </w:p>
    <w:p w14:paraId="7793D35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Importe de los gastos capitalizados en el ejercicio, tanto financieros como de investigación y desarrollo:</w:t>
      </w:r>
    </w:p>
    <w:p w14:paraId="1BDAD9E4"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A4A2FEB" w14:textId="77777777" w:rsidR="00F61492" w:rsidRDefault="00F61492" w:rsidP="007D1E76">
      <w:pPr>
        <w:spacing w:after="0" w:line="240" w:lineRule="auto"/>
        <w:jc w:val="both"/>
        <w:rPr>
          <w:rFonts w:ascii="Arial" w:hAnsi="Arial" w:cs="Arial"/>
          <w:b/>
          <w:sz w:val="20"/>
          <w:szCs w:val="20"/>
        </w:rPr>
      </w:pPr>
    </w:p>
    <w:p w14:paraId="64BF173F" w14:textId="35E5C1D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Rie</w:t>
      </w:r>
      <w:r w:rsidR="001973A2" w:rsidRPr="00D501AD">
        <w:rPr>
          <w:rFonts w:ascii="Arial" w:hAnsi="Arial" w:cs="Arial"/>
          <w:sz w:val="20"/>
          <w:szCs w:val="20"/>
        </w:rPr>
        <w:t>s</w:t>
      </w:r>
      <w:r w:rsidRPr="00D501AD">
        <w:rPr>
          <w:rFonts w:ascii="Arial" w:hAnsi="Arial" w:cs="Arial"/>
          <w:sz w:val="20"/>
          <w:szCs w:val="20"/>
        </w:rPr>
        <w:t>gos por tipo de cambio o tipo de interés de las inversiones financieras:</w:t>
      </w:r>
    </w:p>
    <w:p w14:paraId="218C9E8C"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088754C" w14:textId="77777777" w:rsidR="00F61492" w:rsidRDefault="00F61492" w:rsidP="007D1E76">
      <w:pPr>
        <w:spacing w:after="0" w:line="240" w:lineRule="auto"/>
        <w:jc w:val="both"/>
        <w:rPr>
          <w:rFonts w:ascii="Arial" w:hAnsi="Arial" w:cs="Arial"/>
          <w:b/>
          <w:sz w:val="20"/>
          <w:szCs w:val="20"/>
        </w:rPr>
      </w:pPr>
    </w:p>
    <w:p w14:paraId="114D8167" w14:textId="2AAB166F"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e) </w:t>
      </w:r>
      <w:r w:rsidRPr="00D501AD">
        <w:rPr>
          <w:rFonts w:ascii="Arial" w:hAnsi="Arial" w:cs="Arial"/>
          <w:sz w:val="20"/>
          <w:szCs w:val="20"/>
        </w:rPr>
        <w:t>Valor activado en el ejercicio de los bienes construidos por la entidad:</w:t>
      </w:r>
    </w:p>
    <w:p w14:paraId="35FF060F"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011204D" w14:textId="77777777" w:rsidR="00F61492" w:rsidRDefault="00F61492" w:rsidP="007D1E76">
      <w:pPr>
        <w:spacing w:after="0" w:line="240" w:lineRule="auto"/>
        <w:jc w:val="both"/>
        <w:rPr>
          <w:rFonts w:ascii="Arial" w:hAnsi="Arial" w:cs="Arial"/>
          <w:b/>
          <w:sz w:val="20"/>
          <w:szCs w:val="20"/>
        </w:rPr>
      </w:pPr>
    </w:p>
    <w:p w14:paraId="61D4FD0C" w14:textId="13982D5E"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914E418"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A38B3D4" w14:textId="77777777" w:rsidR="00F61492" w:rsidRDefault="00F61492" w:rsidP="007D1E76">
      <w:pPr>
        <w:spacing w:after="0" w:line="240" w:lineRule="auto"/>
        <w:jc w:val="both"/>
        <w:rPr>
          <w:rFonts w:ascii="Arial" w:hAnsi="Arial" w:cs="Arial"/>
          <w:b/>
          <w:sz w:val="20"/>
          <w:szCs w:val="20"/>
        </w:rPr>
      </w:pPr>
    </w:p>
    <w:p w14:paraId="5B1593C0" w14:textId="117F42F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Desmantelamiento de Activos, procedimientos, implicaciones, efectos contables:</w:t>
      </w:r>
    </w:p>
    <w:p w14:paraId="585D9B0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3BB14DB" w14:textId="77777777" w:rsidR="00F61492" w:rsidRDefault="00F61492" w:rsidP="007D1E76">
      <w:pPr>
        <w:spacing w:after="0" w:line="240" w:lineRule="auto"/>
        <w:jc w:val="both"/>
        <w:rPr>
          <w:rFonts w:ascii="Arial" w:hAnsi="Arial" w:cs="Arial"/>
          <w:b/>
          <w:sz w:val="20"/>
          <w:szCs w:val="20"/>
        </w:rPr>
      </w:pPr>
    </w:p>
    <w:p w14:paraId="6543D74F" w14:textId="1A121BA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h)</w:t>
      </w:r>
      <w:r w:rsidRPr="00D501AD">
        <w:rPr>
          <w:rFonts w:ascii="Arial" w:hAnsi="Arial" w:cs="Arial"/>
          <w:sz w:val="20"/>
          <w:szCs w:val="20"/>
        </w:rPr>
        <w:t xml:space="preserve"> Administración de activos; planeación con el objetivo de que el ente los utilice de manera más efectiva:</w:t>
      </w:r>
    </w:p>
    <w:p w14:paraId="6FF3C07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3376542" w14:textId="77777777" w:rsidR="005E231E" w:rsidRPr="00D501AD" w:rsidRDefault="005E231E" w:rsidP="007D1E76">
      <w:pPr>
        <w:spacing w:after="0" w:line="240" w:lineRule="auto"/>
        <w:jc w:val="both"/>
        <w:rPr>
          <w:rFonts w:ascii="Arial" w:hAnsi="Arial" w:cs="Arial"/>
          <w:sz w:val="20"/>
          <w:szCs w:val="20"/>
        </w:rPr>
      </w:pPr>
    </w:p>
    <w:p w14:paraId="1F344FA6"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Adicionalmente, se deben incluir las explicaciones de las principales variaciones en el activo, en cua</w:t>
      </w:r>
      <w:r w:rsidR="005E231E" w:rsidRPr="00D501AD">
        <w:rPr>
          <w:rFonts w:ascii="Arial" w:hAnsi="Arial" w:cs="Arial"/>
          <w:sz w:val="20"/>
          <w:szCs w:val="20"/>
        </w:rPr>
        <w:t>dros comparativos como sigue:</w:t>
      </w:r>
    </w:p>
    <w:p w14:paraId="34E04F66" w14:textId="77777777" w:rsidR="007D1E76" w:rsidRPr="00D501AD" w:rsidRDefault="007D1E76" w:rsidP="007D1E76">
      <w:pPr>
        <w:spacing w:after="0" w:line="240" w:lineRule="auto"/>
        <w:jc w:val="both"/>
        <w:rPr>
          <w:rFonts w:ascii="Arial" w:hAnsi="Arial" w:cs="Arial"/>
          <w:sz w:val="20"/>
          <w:szCs w:val="20"/>
        </w:rPr>
      </w:pPr>
    </w:p>
    <w:p w14:paraId="1C52C97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Inversiones en valores:</w:t>
      </w:r>
    </w:p>
    <w:p w14:paraId="5E534A7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7FAE4D3" w14:textId="77777777" w:rsidR="007D1E76" w:rsidRPr="00D501AD" w:rsidRDefault="007D1E76" w:rsidP="007D1E76">
      <w:pPr>
        <w:spacing w:after="0" w:line="240" w:lineRule="auto"/>
        <w:jc w:val="both"/>
        <w:rPr>
          <w:rFonts w:ascii="Arial" w:hAnsi="Arial" w:cs="Arial"/>
          <w:sz w:val="20"/>
          <w:szCs w:val="20"/>
        </w:rPr>
      </w:pPr>
    </w:p>
    <w:p w14:paraId="7F294F69"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Patrimonio de Organismos descentralizados de Control Presupuestario Indirecto:</w:t>
      </w:r>
    </w:p>
    <w:p w14:paraId="0690CCE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5E0535E" w14:textId="77777777" w:rsidR="00F61492" w:rsidRDefault="00F61492" w:rsidP="007D1E76">
      <w:pPr>
        <w:spacing w:after="0" w:line="240" w:lineRule="auto"/>
        <w:jc w:val="both"/>
        <w:rPr>
          <w:rFonts w:ascii="Arial" w:hAnsi="Arial" w:cs="Arial"/>
          <w:b/>
          <w:sz w:val="20"/>
          <w:szCs w:val="20"/>
        </w:rPr>
      </w:pPr>
    </w:p>
    <w:p w14:paraId="0A3B41EB" w14:textId="7C117C7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Inversiones en empresas de participación mayoritaria:</w:t>
      </w:r>
    </w:p>
    <w:p w14:paraId="7333C17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F9218F7" w14:textId="77777777" w:rsidR="007D1E76" w:rsidRPr="00D501AD" w:rsidRDefault="007D1E76" w:rsidP="007D1E76">
      <w:pPr>
        <w:spacing w:after="0" w:line="240" w:lineRule="auto"/>
        <w:jc w:val="both"/>
        <w:rPr>
          <w:rFonts w:ascii="Arial" w:hAnsi="Arial" w:cs="Arial"/>
          <w:sz w:val="20"/>
          <w:szCs w:val="20"/>
        </w:rPr>
      </w:pPr>
    </w:p>
    <w:p w14:paraId="02D4B80A" w14:textId="7777D13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Inversiones en empresas de participación minoritaria:</w:t>
      </w:r>
    </w:p>
    <w:p w14:paraId="06690C3F"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7CE2AB2" w14:textId="77777777" w:rsidR="00F61492" w:rsidRDefault="00F61492" w:rsidP="007D1E76">
      <w:pPr>
        <w:spacing w:after="0" w:line="240" w:lineRule="auto"/>
        <w:jc w:val="both"/>
        <w:rPr>
          <w:rFonts w:ascii="Arial" w:hAnsi="Arial" w:cs="Arial"/>
          <w:b/>
          <w:sz w:val="20"/>
          <w:szCs w:val="20"/>
        </w:rPr>
      </w:pPr>
    </w:p>
    <w:p w14:paraId="05A46BBB" w14:textId="07078D8E"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Patrimonio de organismos descentralizados de control presupuestario directo, según corresponda:</w:t>
      </w:r>
    </w:p>
    <w:p w14:paraId="2F55C98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6C3B8CD" w14:textId="77777777" w:rsidR="007D1E76" w:rsidRPr="00D501AD" w:rsidRDefault="007D1E76" w:rsidP="007D1E76">
      <w:pPr>
        <w:spacing w:after="0" w:line="240" w:lineRule="auto"/>
        <w:jc w:val="both"/>
        <w:rPr>
          <w:rFonts w:ascii="Arial" w:hAnsi="Arial" w:cs="Arial"/>
          <w:sz w:val="20"/>
          <w:szCs w:val="20"/>
        </w:rPr>
      </w:pPr>
    </w:p>
    <w:p w14:paraId="3CD43ED5" w14:textId="77777777" w:rsidR="001A4B1E" w:rsidRDefault="001A4B1E" w:rsidP="007D1E76">
      <w:pPr>
        <w:spacing w:after="0" w:line="240" w:lineRule="auto"/>
        <w:jc w:val="both"/>
        <w:rPr>
          <w:rFonts w:ascii="Arial" w:hAnsi="Arial" w:cs="Arial"/>
          <w:b/>
          <w:sz w:val="20"/>
          <w:szCs w:val="20"/>
        </w:rPr>
      </w:pPr>
    </w:p>
    <w:p w14:paraId="2D957F4B" w14:textId="14CAA2CD" w:rsidR="007D1E76" w:rsidRPr="00D501AD" w:rsidRDefault="00441AA3" w:rsidP="007D1E76">
      <w:pPr>
        <w:spacing w:after="0" w:line="240" w:lineRule="auto"/>
        <w:jc w:val="both"/>
        <w:rPr>
          <w:rFonts w:ascii="Arial" w:hAnsi="Arial" w:cs="Arial"/>
          <w:b/>
          <w:sz w:val="20"/>
          <w:szCs w:val="20"/>
        </w:rPr>
      </w:pPr>
      <w:r>
        <w:rPr>
          <w:rFonts w:ascii="Arial" w:hAnsi="Arial" w:cs="Arial"/>
          <w:b/>
          <w:sz w:val="20"/>
          <w:szCs w:val="20"/>
        </w:rPr>
        <w:t>8</w:t>
      </w:r>
      <w:r w:rsidR="007D1E76" w:rsidRPr="00D501AD">
        <w:rPr>
          <w:rFonts w:ascii="Arial" w:hAnsi="Arial" w:cs="Arial"/>
          <w:b/>
          <w:sz w:val="20"/>
          <w:szCs w:val="20"/>
        </w:rPr>
        <w:t>. Fidei</w:t>
      </w:r>
      <w:r w:rsidR="005E231E" w:rsidRPr="00D501AD">
        <w:rPr>
          <w:rFonts w:ascii="Arial" w:hAnsi="Arial" w:cs="Arial"/>
          <w:b/>
          <w:sz w:val="20"/>
          <w:szCs w:val="20"/>
        </w:rPr>
        <w:t>comisos, Mandatos y Análogos:</w:t>
      </w:r>
    </w:p>
    <w:p w14:paraId="708E87EF" w14:textId="77777777" w:rsidR="007D1E76" w:rsidRPr="00D501AD" w:rsidRDefault="007D1E76" w:rsidP="007D1E76">
      <w:pPr>
        <w:spacing w:after="0" w:line="240" w:lineRule="auto"/>
        <w:jc w:val="both"/>
        <w:rPr>
          <w:rFonts w:ascii="Arial" w:hAnsi="Arial" w:cs="Arial"/>
          <w:sz w:val="20"/>
          <w:szCs w:val="20"/>
        </w:rPr>
      </w:pPr>
    </w:p>
    <w:p w14:paraId="2701D95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Por ramo administrativo que los reporta:</w:t>
      </w:r>
    </w:p>
    <w:p w14:paraId="27BF931B"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326C2254" w14:textId="64A72E6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Enlistar los de mayor monto de disponibilidad, relacionando aquéllos que conforman el 80% de las disponibilidades:</w:t>
      </w:r>
    </w:p>
    <w:p w14:paraId="383C7D95"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3F57FD55" w14:textId="77777777" w:rsidR="00F61492" w:rsidRDefault="00F61492" w:rsidP="007D1E76">
      <w:pPr>
        <w:spacing w:after="0" w:line="240" w:lineRule="auto"/>
        <w:jc w:val="both"/>
        <w:rPr>
          <w:rFonts w:ascii="Arial" w:hAnsi="Arial" w:cs="Arial"/>
          <w:b/>
          <w:sz w:val="20"/>
          <w:szCs w:val="20"/>
        </w:rPr>
      </w:pPr>
    </w:p>
    <w:p w14:paraId="2F60B1C6" w14:textId="03AA825E" w:rsidR="007D1E76" w:rsidRPr="00D501AD" w:rsidRDefault="0087256B" w:rsidP="007D1E76">
      <w:pPr>
        <w:spacing w:after="0" w:line="240" w:lineRule="auto"/>
        <w:jc w:val="both"/>
        <w:rPr>
          <w:rFonts w:ascii="Arial" w:hAnsi="Arial" w:cs="Arial"/>
          <w:b/>
          <w:sz w:val="20"/>
          <w:szCs w:val="20"/>
        </w:rPr>
      </w:pPr>
      <w:r>
        <w:rPr>
          <w:rFonts w:ascii="Arial" w:hAnsi="Arial" w:cs="Arial"/>
          <w:b/>
          <w:sz w:val="20"/>
          <w:szCs w:val="20"/>
        </w:rPr>
        <w:t>9</w:t>
      </w:r>
      <w:r w:rsidR="007D1E76" w:rsidRPr="00D501AD">
        <w:rPr>
          <w:rFonts w:ascii="Arial" w:hAnsi="Arial" w:cs="Arial"/>
          <w:b/>
          <w:sz w:val="20"/>
          <w:szCs w:val="20"/>
        </w:rPr>
        <w:t>. Reporte de la Recaudación:</w:t>
      </w:r>
    </w:p>
    <w:p w14:paraId="2B90D2EC" w14:textId="77777777" w:rsidR="007D1E76" w:rsidRPr="00D501AD" w:rsidRDefault="007D1E76" w:rsidP="007D1E76">
      <w:pPr>
        <w:spacing w:after="0" w:line="240" w:lineRule="auto"/>
        <w:jc w:val="both"/>
        <w:rPr>
          <w:rFonts w:ascii="Arial" w:hAnsi="Arial" w:cs="Arial"/>
          <w:sz w:val="20"/>
          <w:szCs w:val="20"/>
        </w:rPr>
      </w:pPr>
    </w:p>
    <w:p w14:paraId="6DF860F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10A0C32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CA2E663" w14:textId="77777777" w:rsidR="00F61492" w:rsidRDefault="00F61492" w:rsidP="007D1E76">
      <w:pPr>
        <w:spacing w:after="0" w:line="240" w:lineRule="auto"/>
        <w:jc w:val="both"/>
        <w:rPr>
          <w:rFonts w:ascii="Arial" w:hAnsi="Arial" w:cs="Arial"/>
          <w:b/>
          <w:sz w:val="20"/>
          <w:szCs w:val="20"/>
        </w:rPr>
      </w:pPr>
    </w:p>
    <w:p w14:paraId="36C23337" w14:textId="026B623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Proyección de la recaudación e ingresos en el mediano plazo:</w:t>
      </w:r>
    </w:p>
    <w:p w14:paraId="0AA62F2C"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DC99704" w14:textId="77777777" w:rsidR="00F61492" w:rsidRDefault="00F61492" w:rsidP="007D1E76">
      <w:pPr>
        <w:spacing w:after="0" w:line="240" w:lineRule="auto"/>
        <w:jc w:val="both"/>
        <w:rPr>
          <w:rFonts w:ascii="Arial" w:hAnsi="Arial" w:cs="Arial"/>
          <w:b/>
          <w:sz w:val="20"/>
          <w:szCs w:val="20"/>
        </w:rPr>
      </w:pPr>
    </w:p>
    <w:p w14:paraId="2D68C3FC" w14:textId="246C6774"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0</w:t>
      </w:r>
      <w:r w:rsidRPr="00D501AD">
        <w:rPr>
          <w:rFonts w:ascii="Arial" w:hAnsi="Arial" w:cs="Arial"/>
          <w:b/>
          <w:sz w:val="20"/>
          <w:szCs w:val="20"/>
        </w:rPr>
        <w:t>. Información sobre la Deuda y el R</w:t>
      </w:r>
      <w:r w:rsidR="005E231E" w:rsidRPr="00D501AD">
        <w:rPr>
          <w:rFonts w:ascii="Arial" w:hAnsi="Arial" w:cs="Arial"/>
          <w:b/>
          <w:sz w:val="20"/>
          <w:szCs w:val="20"/>
        </w:rPr>
        <w:t>eporte Analítico de la Deuda:</w:t>
      </w:r>
    </w:p>
    <w:p w14:paraId="27337031" w14:textId="77777777" w:rsidR="007D1E76" w:rsidRPr="00D501AD" w:rsidRDefault="007D1E76" w:rsidP="007D1E76">
      <w:pPr>
        <w:spacing w:after="0" w:line="240" w:lineRule="auto"/>
        <w:jc w:val="both"/>
        <w:rPr>
          <w:rFonts w:ascii="Arial" w:hAnsi="Arial" w:cs="Arial"/>
          <w:sz w:val="20"/>
          <w:szCs w:val="20"/>
        </w:rPr>
      </w:pPr>
    </w:p>
    <w:p w14:paraId="7B63D2E0"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Utilizar al menos los siguientes indicadores: deuda respecto al PIB y deuda respecto a la recaudación tomando, como mínimo, un período igual o menor a 5 años.</w:t>
      </w:r>
    </w:p>
    <w:p w14:paraId="3F9DDBBA" w14:textId="77777777" w:rsidR="007D1E76" w:rsidRPr="00D501AD" w:rsidRDefault="007D1E76" w:rsidP="007D1E76">
      <w:pPr>
        <w:spacing w:after="0" w:line="240" w:lineRule="auto"/>
        <w:jc w:val="both"/>
        <w:rPr>
          <w:rFonts w:ascii="Arial" w:hAnsi="Arial" w:cs="Arial"/>
          <w:sz w:val="20"/>
          <w:szCs w:val="20"/>
        </w:rPr>
      </w:pPr>
    </w:p>
    <w:p w14:paraId="26034E41"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Información de manera agrupada por tipo de valor gubernamental o instrumento financiero en la que se considere</w:t>
      </w:r>
      <w:r w:rsidR="001973A2" w:rsidRPr="00D501AD">
        <w:rPr>
          <w:rFonts w:ascii="Arial" w:hAnsi="Arial" w:cs="Arial"/>
          <w:sz w:val="20"/>
          <w:szCs w:val="20"/>
        </w:rPr>
        <w:t>n</w:t>
      </w:r>
      <w:r w:rsidRPr="00D501AD">
        <w:rPr>
          <w:rFonts w:ascii="Arial" w:hAnsi="Arial" w:cs="Arial"/>
          <w:sz w:val="20"/>
          <w:szCs w:val="20"/>
        </w:rPr>
        <w:t xml:space="preserve"> intereses, comisiones, tasa, perfil de vencimiento y otros gastos de la deuda.</w:t>
      </w:r>
    </w:p>
    <w:p w14:paraId="67DDEBBA" w14:textId="35A967D3"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 Se anexar</w:t>
      </w:r>
      <w:r w:rsidR="00231039">
        <w:rPr>
          <w:rFonts w:ascii="Arial" w:hAnsi="Arial" w:cs="Arial"/>
          <w:sz w:val="20"/>
          <w:szCs w:val="20"/>
        </w:rPr>
        <w:t>á</w:t>
      </w:r>
      <w:r w:rsidRPr="00D501AD">
        <w:rPr>
          <w:rFonts w:ascii="Arial" w:hAnsi="Arial" w:cs="Arial"/>
          <w:sz w:val="20"/>
          <w:szCs w:val="20"/>
        </w:rPr>
        <w:t xml:space="preserve"> la informació</w:t>
      </w:r>
      <w:r w:rsidR="005E231E" w:rsidRPr="00D501AD">
        <w:rPr>
          <w:rFonts w:ascii="Arial" w:hAnsi="Arial" w:cs="Arial"/>
          <w:sz w:val="20"/>
          <w:szCs w:val="20"/>
        </w:rPr>
        <w:t>n en las notas de desglose.</w:t>
      </w:r>
    </w:p>
    <w:p w14:paraId="47A92FC9" w14:textId="77777777" w:rsidR="007D1E76" w:rsidRPr="00D501AD" w:rsidRDefault="007D1E76" w:rsidP="007D1E76">
      <w:pPr>
        <w:spacing w:after="0" w:line="240" w:lineRule="auto"/>
        <w:jc w:val="both"/>
        <w:rPr>
          <w:rFonts w:ascii="Arial" w:hAnsi="Arial" w:cs="Arial"/>
          <w:sz w:val="20"/>
          <w:szCs w:val="20"/>
        </w:rPr>
      </w:pPr>
    </w:p>
    <w:p w14:paraId="6C9D8ECB" w14:textId="77777777" w:rsidR="004775D9" w:rsidRDefault="004775D9" w:rsidP="007D1E76">
      <w:pPr>
        <w:spacing w:after="0" w:line="240" w:lineRule="auto"/>
        <w:jc w:val="both"/>
        <w:rPr>
          <w:rFonts w:ascii="Arial" w:hAnsi="Arial" w:cs="Arial"/>
          <w:b/>
          <w:sz w:val="20"/>
          <w:szCs w:val="20"/>
        </w:rPr>
      </w:pPr>
    </w:p>
    <w:p w14:paraId="19C64A34" w14:textId="3D6D7501"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1</w:t>
      </w:r>
      <w:r w:rsidRPr="00D501AD">
        <w:rPr>
          <w:rFonts w:ascii="Arial" w:hAnsi="Arial" w:cs="Arial"/>
          <w:b/>
          <w:sz w:val="20"/>
          <w:szCs w:val="20"/>
        </w:rPr>
        <w:t>.</w:t>
      </w:r>
      <w:r w:rsidR="005E231E" w:rsidRPr="00D501AD">
        <w:rPr>
          <w:rFonts w:ascii="Arial" w:hAnsi="Arial" w:cs="Arial"/>
          <w:b/>
          <w:sz w:val="20"/>
          <w:szCs w:val="20"/>
        </w:rPr>
        <w:t xml:space="preserve"> Calificaciones otorgadas:</w:t>
      </w:r>
    </w:p>
    <w:p w14:paraId="67197CE9" w14:textId="77777777" w:rsidR="007D1E76" w:rsidRPr="00D501AD" w:rsidRDefault="007D1E76" w:rsidP="007D1E76">
      <w:pPr>
        <w:spacing w:after="0" w:line="240" w:lineRule="auto"/>
        <w:jc w:val="both"/>
        <w:rPr>
          <w:rFonts w:ascii="Arial" w:hAnsi="Arial" w:cs="Arial"/>
          <w:sz w:val="20"/>
          <w:szCs w:val="20"/>
        </w:rPr>
      </w:pPr>
    </w:p>
    <w:p w14:paraId="57D9F68C"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Informar, tanto del ente público como cualquier transacción realizada, que haya sido sujeta a una calificación crediticia:</w:t>
      </w:r>
    </w:p>
    <w:p w14:paraId="5A84E04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EFB9424" w14:textId="45F170E5" w:rsidR="00D97E86" w:rsidRPr="00D501AD" w:rsidRDefault="00D97E86" w:rsidP="00D97E86">
      <w:pPr>
        <w:jc w:val="both"/>
        <w:rPr>
          <w:rFonts w:ascii="Arial" w:hAnsi="Arial" w:cs="Arial"/>
          <w:sz w:val="20"/>
          <w:szCs w:val="20"/>
        </w:rPr>
      </w:pPr>
    </w:p>
    <w:p w14:paraId="69F25506" w14:textId="77777777" w:rsidR="007D1E76" w:rsidRPr="00D501AD" w:rsidRDefault="007D1E76" w:rsidP="007D1E76">
      <w:pPr>
        <w:spacing w:after="0" w:line="240" w:lineRule="auto"/>
        <w:jc w:val="both"/>
        <w:rPr>
          <w:rFonts w:ascii="Arial" w:hAnsi="Arial" w:cs="Arial"/>
          <w:sz w:val="20"/>
          <w:szCs w:val="20"/>
        </w:rPr>
      </w:pPr>
    </w:p>
    <w:p w14:paraId="10B4C763" w14:textId="33056F38"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2</w:t>
      </w:r>
      <w:r w:rsidRPr="00D501AD">
        <w:rPr>
          <w:rFonts w:ascii="Arial" w:hAnsi="Arial" w:cs="Arial"/>
          <w:b/>
          <w:sz w:val="20"/>
          <w:szCs w:val="20"/>
        </w:rPr>
        <w:t>. Proceso de Mejora:</w:t>
      </w:r>
    </w:p>
    <w:p w14:paraId="533FB084" w14:textId="77777777" w:rsidR="007D1E76" w:rsidRPr="00D501AD" w:rsidRDefault="007D1E76" w:rsidP="007D1E76">
      <w:pPr>
        <w:spacing w:after="0" w:line="240" w:lineRule="auto"/>
        <w:jc w:val="both"/>
        <w:rPr>
          <w:rFonts w:ascii="Arial" w:hAnsi="Arial" w:cs="Arial"/>
          <w:sz w:val="20"/>
          <w:szCs w:val="20"/>
        </w:rPr>
      </w:pPr>
    </w:p>
    <w:p w14:paraId="4D639AB5" w14:textId="5D56DF3A" w:rsidR="007D1E76" w:rsidRPr="00E312C7" w:rsidRDefault="007D1E76" w:rsidP="00E312C7">
      <w:pPr>
        <w:pStyle w:val="Prrafodelista"/>
        <w:numPr>
          <w:ilvl w:val="0"/>
          <w:numId w:val="7"/>
        </w:numPr>
        <w:spacing w:after="0" w:line="240" w:lineRule="auto"/>
        <w:jc w:val="both"/>
        <w:rPr>
          <w:rFonts w:ascii="Arial" w:hAnsi="Arial" w:cs="Arial"/>
          <w:sz w:val="20"/>
          <w:szCs w:val="20"/>
        </w:rPr>
      </w:pPr>
      <w:r w:rsidRPr="00E312C7">
        <w:rPr>
          <w:rFonts w:ascii="Arial" w:hAnsi="Arial" w:cs="Arial"/>
          <w:sz w:val="20"/>
          <w:szCs w:val="20"/>
        </w:rPr>
        <w:t>Principales Políticas de control interno:</w:t>
      </w:r>
    </w:p>
    <w:p w14:paraId="15E71680" w14:textId="77777777" w:rsidR="00E312C7" w:rsidRPr="00E312C7" w:rsidRDefault="00E312C7" w:rsidP="00E312C7">
      <w:pPr>
        <w:pStyle w:val="Prrafodelista"/>
        <w:spacing w:after="0" w:line="240" w:lineRule="auto"/>
        <w:jc w:val="both"/>
        <w:rPr>
          <w:rFonts w:ascii="Arial" w:hAnsi="Arial" w:cs="Arial"/>
          <w:sz w:val="20"/>
          <w:szCs w:val="20"/>
        </w:rPr>
      </w:pPr>
    </w:p>
    <w:p w14:paraId="160E66BE" w14:textId="7735AB9B" w:rsidR="00564EDB" w:rsidRPr="00781B59" w:rsidRDefault="00564EDB" w:rsidP="00E312C7">
      <w:pPr>
        <w:pStyle w:val="Prrafodelista"/>
        <w:numPr>
          <w:ilvl w:val="0"/>
          <w:numId w:val="6"/>
        </w:numPr>
        <w:shd w:val="clear" w:color="auto" w:fill="FFFFFF"/>
        <w:spacing w:after="0" w:line="240" w:lineRule="auto"/>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 xml:space="preserve">Lineamientos Generales de Racionalidad, Austeridad y Disciplina Presupuestal para el Ejercicio Fiscal correspondiente del Tribunal de </w:t>
      </w:r>
      <w:r w:rsidR="00DF705F" w:rsidRPr="00781B59">
        <w:rPr>
          <w:rFonts w:ascii="Arial" w:eastAsia="Times New Roman" w:hAnsi="Arial" w:cs="Arial"/>
          <w:color w:val="0A0A0A"/>
          <w:sz w:val="20"/>
          <w:szCs w:val="20"/>
          <w:bdr w:val="none" w:sz="0" w:space="0" w:color="auto" w:frame="1"/>
          <w:lang w:eastAsia="es-MX"/>
        </w:rPr>
        <w:t>Justicia Administrativa</w:t>
      </w:r>
      <w:r w:rsidRPr="00781B59">
        <w:rPr>
          <w:rFonts w:ascii="Arial" w:eastAsia="Times New Roman" w:hAnsi="Arial" w:cs="Arial"/>
          <w:color w:val="0A0A0A"/>
          <w:sz w:val="20"/>
          <w:szCs w:val="20"/>
          <w:bdr w:val="none" w:sz="0" w:space="0" w:color="auto" w:frame="1"/>
          <w:lang w:eastAsia="es-MX"/>
        </w:rPr>
        <w:t xml:space="preserve"> del Estado de Guanajuato.</w:t>
      </w:r>
    </w:p>
    <w:p w14:paraId="14888466" w14:textId="77777777" w:rsidR="007B6FCF" w:rsidRPr="00781B59" w:rsidRDefault="007B6FCF" w:rsidP="007B6FCF">
      <w:pPr>
        <w:numPr>
          <w:ilvl w:val="0"/>
          <w:numId w:val="2"/>
        </w:numPr>
        <w:shd w:val="clear" w:color="auto" w:fill="FFFFFF"/>
        <w:spacing w:after="0" w:line="240" w:lineRule="auto"/>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Reglamento Interior del Tribunal de Justicia Administrativa del Estado de Guanajuato.</w:t>
      </w:r>
    </w:p>
    <w:p w14:paraId="15D93BD9" w14:textId="77777777"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Política General de Contrataciones Públicas para el Tribunal de Justicia Administrativa.</w:t>
      </w:r>
    </w:p>
    <w:p w14:paraId="7F5A248E" w14:textId="77777777"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Política de Gestión Digital y Datos Abiertos para el Tribunal de Justicia Administrativa del Estado de Guanajuato.</w:t>
      </w:r>
    </w:p>
    <w:p w14:paraId="6B9BC56D" w14:textId="77777777" w:rsidR="007B6FCF" w:rsidRPr="00D501AD" w:rsidRDefault="007B6FCF" w:rsidP="002277EF">
      <w:pPr>
        <w:shd w:val="clear" w:color="auto" w:fill="FFFFFF"/>
        <w:spacing w:after="0" w:line="240" w:lineRule="auto"/>
        <w:ind w:left="720"/>
        <w:textAlignment w:val="baseline"/>
        <w:rPr>
          <w:rFonts w:ascii="Arial" w:eastAsia="Times New Roman" w:hAnsi="Arial" w:cs="Arial"/>
          <w:color w:val="0A0A0A"/>
          <w:sz w:val="20"/>
          <w:szCs w:val="20"/>
          <w:lang w:eastAsia="es-MX"/>
        </w:rPr>
      </w:pPr>
    </w:p>
    <w:p w14:paraId="59CFF4B2" w14:textId="106ABA12" w:rsidR="007D1E76" w:rsidRPr="002277EF" w:rsidRDefault="007D1E76" w:rsidP="002277EF">
      <w:pPr>
        <w:pStyle w:val="Prrafodelista"/>
        <w:numPr>
          <w:ilvl w:val="0"/>
          <w:numId w:val="7"/>
        </w:numPr>
        <w:spacing w:after="0" w:line="240" w:lineRule="auto"/>
        <w:jc w:val="both"/>
        <w:rPr>
          <w:rFonts w:ascii="Arial" w:hAnsi="Arial" w:cs="Arial"/>
          <w:sz w:val="20"/>
          <w:szCs w:val="20"/>
        </w:rPr>
      </w:pPr>
      <w:r w:rsidRPr="002277EF">
        <w:rPr>
          <w:rFonts w:ascii="Arial" w:hAnsi="Arial" w:cs="Arial"/>
          <w:sz w:val="20"/>
          <w:szCs w:val="20"/>
        </w:rPr>
        <w:t>Medidas de desempeño financiero, metas y alcance:</w:t>
      </w:r>
    </w:p>
    <w:p w14:paraId="30323011" w14:textId="77777777" w:rsidR="002277EF" w:rsidRPr="002277EF" w:rsidRDefault="002277EF" w:rsidP="002277EF">
      <w:pPr>
        <w:pStyle w:val="Prrafodelista"/>
        <w:spacing w:after="0" w:line="240" w:lineRule="auto"/>
        <w:jc w:val="both"/>
        <w:rPr>
          <w:rFonts w:ascii="Arial" w:hAnsi="Arial" w:cs="Arial"/>
          <w:sz w:val="20"/>
          <w:szCs w:val="20"/>
        </w:rPr>
      </w:pPr>
    </w:p>
    <w:p w14:paraId="7885B7A5" w14:textId="4723A293"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Lineamientos del Sistema de Evaluación al Desempeño Institucional del Tribunal de Justicia Administrativa del Estado de Guanajuato para el Ejercicio Fiscal 202</w:t>
      </w:r>
      <w:r w:rsidR="00A6458C">
        <w:rPr>
          <w:rFonts w:ascii="Arial" w:eastAsia="Times New Roman" w:hAnsi="Arial" w:cs="Arial"/>
          <w:color w:val="0A0A0A"/>
          <w:sz w:val="20"/>
          <w:szCs w:val="20"/>
          <w:bdr w:val="none" w:sz="0" w:space="0" w:color="auto" w:frame="1"/>
          <w:lang w:eastAsia="es-MX"/>
        </w:rPr>
        <w:t>5</w:t>
      </w:r>
      <w:r w:rsidRPr="00781B59">
        <w:rPr>
          <w:rFonts w:ascii="Arial" w:eastAsia="Times New Roman" w:hAnsi="Arial" w:cs="Arial"/>
          <w:color w:val="0A0A0A"/>
          <w:sz w:val="20"/>
          <w:szCs w:val="20"/>
          <w:bdr w:val="none" w:sz="0" w:space="0" w:color="auto" w:frame="1"/>
          <w:lang w:eastAsia="es-MX"/>
        </w:rPr>
        <w:t>.</w:t>
      </w:r>
    </w:p>
    <w:p w14:paraId="795495BA" w14:textId="77777777" w:rsidR="007D1E76" w:rsidRPr="00D501AD" w:rsidRDefault="007D1E76" w:rsidP="007D1E76">
      <w:pPr>
        <w:spacing w:after="0" w:line="240" w:lineRule="auto"/>
        <w:jc w:val="both"/>
        <w:rPr>
          <w:rFonts w:ascii="Arial" w:hAnsi="Arial" w:cs="Arial"/>
          <w:sz w:val="20"/>
          <w:szCs w:val="20"/>
        </w:rPr>
      </w:pPr>
    </w:p>
    <w:p w14:paraId="3D010C2A" w14:textId="78BB71D5"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3</w:t>
      </w:r>
      <w:r w:rsidR="005E231E" w:rsidRPr="00D501AD">
        <w:rPr>
          <w:rFonts w:ascii="Arial" w:hAnsi="Arial" w:cs="Arial"/>
          <w:b/>
          <w:sz w:val="20"/>
          <w:szCs w:val="20"/>
        </w:rPr>
        <w:t>. Información por Segmentos:</w:t>
      </w:r>
    </w:p>
    <w:p w14:paraId="6C3C6A04" w14:textId="77777777" w:rsidR="007D1E76" w:rsidRPr="00D501AD" w:rsidRDefault="007D1E76" w:rsidP="007D1E76">
      <w:pPr>
        <w:spacing w:after="0" w:line="240" w:lineRule="auto"/>
        <w:jc w:val="both"/>
        <w:rPr>
          <w:rFonts w:ascii="Arial" w:hAnsi="Arial" w:cs="Arial"/>
          <w:sz w:val="20"/>
          <w:szCs w:val="20"/>
        </w:rPr>
      </w:pPr>
    </w:p>
    <w:p w14:paraId="64BC1596" w14:textId="77777777" w:rsidR="007D1E76" w:rsidRPr="00D501AD" w:rsidRDefault="007D1E76" w:rsidP="00B60E68">
      <w:pPr>
        <w:spacing w:after="0" w:line="240" w:lineRule="auto"/>
        <w:ind w:firstLine="708"/>
        <w:jc w:val="both"/>
        <w:rPr>
          <w:rFonts w:ascii="Arial" w:hAnsi="Arial" w:cs="Arial"/>
          <w:sz w:val="20"/>
          <w:szCs w:val="20"/>
        </w:rPr>
      </w:pPr>
      <w:r w:rsidRPr="00D501A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D501AD" w:rsidRDefault="007D1E76" w:rsidP="007D1E76">
      <w:pPr>
        <w:spacing w:after="0" w:line="240" w:lineRule="auto"/>
        <w:jc w:val="both"/>
        <w:rPr>
          <w:rFonts w:ascii="Arial" w:hAnsi="Arial" w:cs="Arial"/>
          <w:sz w:val="20"/>
          <w:szCs w:val="20"/>
        </w:rPr>
      </w:pPr>
    </w:p>
    <w:p w14:paraId="54078A60" w14:textId="77777777" w:rsidR="007D1E76" w:rsidRPr="00D501AD" w:rsidRDefault="007D1E76" w:rsidP="00B60E68">
      <w:pPr>
        <w:spacing w:after="0" w:line="240" w:lineRule="auto"/>
        <w:ind w:firstLine="708"/>
        <w:jc w:val="both"/>
        <w:rPr>
          <w:rFonts w:ascii="Arial" w:hAnsi="Arial" w:cs="Arial"/>
          <w:sz w:val="20"/>
          <w:szCs w:val="20"/>
        </w:rPr>
      </w:pPr>
      <w:r w:rsidRPr="00D501AD">
        <w:rPr>
          <w:rFonts w:ascii="Arial" w:hAnsi="Arial" w:cs="Arial"/>
          <w:sz w:val="20"/>
          <w:szCs w:val="20"/>
        </w:rPr>
        <w:t>Consecuentemente, esta información contribuye al análisis más preciso de la situación financiera, grados y fuentes de riesgo y crec</w:t>
      </w:r>
      <w:r w:rsidR="005E231E" w:rsidRPr="00D501AD">
        <w:rPr>
          <w:rFonts w:ascii="Arial" w:hAnsi="Arial" w:cs="Arial"/>
          <w:sz w:val="20"/>
          <w:szCs w:val="20"/>
        </w:rPr>
        <w:t>imiento potencial de negocio.</w:t>
      </w:r>
    </w:p>
    <w:p w14:paraId="4054793D" w14:textId="77777777" w:rsidR="007D1E76" w:rsidRDefault="007D1E76" w:rsidP="007D1E76">
      <w:pPr>
        <w:spacing w:after="0" w:line="240" w:lineRule="auto"/>
        <w:jc w:val="both"/>
        <w:rPr>
          <w:rFonts w:ascii="Arial" w:hAnsi="Arial" w:cs="Arial"/>
          <w:sz w:val="20"/>
          <w:szCs w:val="20"/>
        </w:rPr>
      </w:pPr>
    </w:p>
    <w:p w14:paraId="0FCC466A" w14:textId="77777777" w:rsidR="0087256B" w:rsidRPr="00D501AD" w:rsidRDefault="0087256B" w:rsidP="007D1E76">
      <w:pPr>
        <w:spacing w:after="0" w:line="240" w:lineRule="auto"/>
        <w:jc w:val="both"/>
        <w:rPr>
          <w:rFonts w:ascii="Arial" w:hAnsi="Arial" w:cs="Arial"/>
          <w:sz w:val="20"/>
          <w:szCs w:val="20"/>
        </w:rPr>
      </w:pPr>
    </w:p>
    <w:p w14:paraId="03BBF660" w14:textId="77777777" w:rsidR="007D1E76" w:rsidRPr="00D501AD" w:rsidRDefault="007D1E76" w:rsidP="007D1E76">
      <w:pPr>
        <w:spacing w:after="0" w:line="240" w:lineRule="auto"/>
        <w:jc w:val="both"/>
        <w:rPr>
          <w:rFonts w:ascii="Arial" w:hAnsi="Arial" w:cs="Arial"/>
          <w:sz w:val="20"/>
          <w:szCs w:val="20"/>
        </w:rPr>
      </w:pPr>
    </w:p>
    <w:p w14:paraId="5CE772DA" w14:textId="2398AABD"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4</w:t>
      </w:r>
      <w:r w:rsidRPr="00D501AD">
        <w:rPr>
          <w:rFonts w:ascii="Arial" w:hAnsi="Arial" w:cs="Arial"/>
          <w:b/>
          <w:sz w:val="20"/>
          <w:szCs w:val="20"/>
        </w:rPr>
        <w:t>. E</w:t>
      </w:r>
      <w:r w:rsidR="005E231E" w:rsidRPr="00D501AD">
        <w:rPr>
          <w:rFonts w:ascii="Arial" w:hAnsi="Arial" w:cs="Arial"/>
          <w:b/>
          <w:sz w:val="20"/>
          <w:szCs w:val="20"/>
        </w:rPr>
        <w:t>ventos Posteriores al Cierre:</w:t>
      </w:r>
    </w:p>
    <w:p w14:paraId="362DF4F4" w14:textId="77777777" w:rsidR="007D1E76" w:rsidRPr="00D501AD" w:rsidRDefault="007D1E76" w:rsidP="007D1E76">
      <w:pPr>
        <w:spacing w:after="0" w:line="240" w:lineRule="auto"/>
        <w:jc w:val="both"/>
        <w:rPr>
          <w:rFonts w:ascii="Arial" w:hAnsi="Arial" w:cs="Arial"/>
          <w:sz w:val="20"/>
          <w:szCs w:val="20"/>
        </w:rPr>
      </w:pPr>
    </w:p>
    <w:p w14:paraId="7228B5B0" w14:textId="1C112E7C" w:rsidR="00A11DB9" w:rsidRPr="00D501AD" w:rsidRDefault="001E6C8E" w:rsidP="001E6C8E">
      <w:pPr>
        <w:spacing w:after="0" w:line="240" w:lineRule="auto"/>
        <w:ind w:firstLine="708"/>
        <w:jc w:val="both"/>
        <w:rPr>
          <w:rFonts w:ascii="Arial" w:hAnsi="Arial" w:cs="Arial"/>
          <w:sz w:val="20"/>
          <w:szCs w:val="20"/>
        </w:rPr>
      </w:pPr>
      <w:r>
        <w:rPr>
          <w:rFonts w:ascii="Arial" w:hAnsi="Arial" w:cs="Arial"/>
          <w:sz w:val="20"/>
          <w:szCs w:val="20"/>
        </w:rPr>
        <w:t xml:space="preserve">Por instrucciones de Secretaría de Finanzas se </w:t>
      </w:r>
      <w:r w:rsidR="00F51FB2">
        <w:rPr>
          <w:rFonts w:ascii="Arial" w:hAnsi="Arial" w:cs="Arial"/>
          <w:sz w:val="20"/>
          <w:szCs w:val="20"/>
        </w:rPr>
        <w:t>deja saldo en el comprometido.</w:t>
      </w:r>
    </w:p>
    <w:p w14:paraId="1ECF1022" w14:textId="77777777" w:rsidR="00A11DB9" w:rsidRPr="00D501AD" w:rsidRDefault="00A11DB9" w:rsidP="00A11DB9">
      <w:pPr>
        <w:spacing w:after="0" w:line="240" w:lineRule="auto"/>
        <w:jc w:val="both"/>
        <w:rPr>
          <w:rFonts w:ascii="Arial" w:hAnsi="Arial" w:cs="Arial"/>
          <w:sz w:val="20"/>
          <w:szCs w:val="20"/>
        </w:rPr>
      </w:pPr>
    </w:p>
    <w:p w14:paraId="55D08D4D" w14:textId="77777777" w:rsidR="007D1E76" w:rsidRPr="00D501AD" w:rsidRDefault="007D1E76" w:rsidP="007D1E76">
      <w:pPr>
        <w:spacing w:after="0" w:line="240" w:lineRule="auto"/>
        <w:jc w:val="both"/>
        <w:rPr>
          <w:rFonts w:ascii="Arial" w:hAnsi="Arial" w:cs="Arial"/>
          <w:sz w:val="20"/>
          <w:szCs w:val="20"/>
        </w:rPr>
      </w:pPr>
    </w:p>
    <w:p w14:paraId="3CC9AECC" w14:textId="24170878" w:rsidR="007D1E76" w:rsidRPr="00D501AD" w:rsidRDefault="005E231E"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5</w:t>
      </w:r>
      <w:r w:rsidRPr="00D501AD">
        <w:rPr>
          <w:rFonts w:ascii="Arial" w:hAnsi="Arial" w:cs="Arial"/>
          <w:b/>
          <w:sz w:val="20"/>
          <w:szCs w:val="20"/>
        </w:rPr>
        <w:t>. Partes Relacionadas:</w:t>
      </w:r>
    </w:p>
    <w:p w14:paraId="20438A33" w14:textId="77777777" w:rsidR="007D1E76" w:rsidRPr="00D501AD" w:rsidRDefault="007D1E76" w:rsidP="007D1E76">
      <w:pPr>
        <w:spacing w:after="0" w:line="240" w:lineRule="auto"/>
        <w:jc w:val="both"/>
        <w:rPr>
          <w:rFonts w:ascii="Arial" w:hAnsi="Arial" w:cs="Arial"/>
          <w:sz w:val="20"/>
          <w:szCs w:val="20"/>
        </w:rPr>
      </w:pPr>
    </w:p>
    <w:p w14:paraId="5A1981F2" w14:textId="7EADCDDD" w:rsidR="007D1E76" w:rsidRPr="00D501AD" w:rsidRDefault="004775D9" w:rsidP="00B60E68">
      <w:pPr>
        <w:spacing w:after="0" w:line="240" w:lineRule="auto"/>
        <w:ind w:firstLine="708"/>
        <w:jc w:val="both"/>
        <w:rPr>
          <w:rFonts w:ascii="Arial" w:hAnsi="Arial" w:cs="Arial"/>
          <w:sz w:val="20"/>
          <w:szCs w:val="20"/>
        </w:rPr>
      </w:pPr>
      <w:r>
        <w:rPr>
          <w:rFonts w:ascii="Arial" w:hAnsi="Arial" w:cs="Arial"/>
          <w:sz w:val="20"/>
          <w:szCs w:val="20"/>
        </w:rPr>
        <w:t>N</w:t>
      </w:r>
      <w:r w:rsidR="007D1E76" w:rsidRPr="00D501AD">
        <w:rPr>
          <w:rFonts w:ascii="Arial" w:hAnsi="Arial" w:cs="Arial"/>
          <w:sz w:val="20"/>
          <w:szCs w:val="20"/>
        </w:rPr>
        <w:t>o existen partes relacionadas que pudieran ejercer influencia significativa sobre la toma de deci</w:t>
      </w:r>
      <w:r>
        <w:rPr>
          <w:rFonts w:ascii="Arial" w:hAnsi="Arial" w:cs="Arial"/>
          <w:sz w:val="20"/>
          <w:szCs w:val="20"/>
        </w:rPr>
        <w:t>siones financieras y operativas</w:t>
      </w:r>
    </w:p>
    <w:p w14:paraId="4175BFD9" w14:textId="77777777" w:rsidR="00B46169" w:rsidRDefault="00B46169" w:rsidP="007D1E76">
      <w:pPr>
        <w:spacing w:after="0" w:line="240" w:lineRule="auto"/>
        <w:jc w:val="both"/>
        <w:rPr>
          <w:rFonts w:ascii="Arial" w:hAnsi="Arial" w:cs="Arial"/>
          <w:b/>
          <w:sz w:val="20"/>
          <w:szCs w:val="20"/>
        </w:rPr>
      </w:pPr>
    </w:p>
    <w:p w14:paraId="0BF76A8E" w14:textId="77777777" w:rsidR="00B46169" w:rsidRDefault="00B46169" w:rsidP="007D1E76">
      <w:pPr>
        <w:spacing w:after="0" w:line="240" w:lineRule="auto"/>
        <w:jc w:val="both"/>
        <w:rPr>
          <w:rFonts w:ascii="Arial" w:hAnsi="Arial" w:cs="Arial"/>
          <w:b/>
          <w:sz w:val="20"/>
          <w:szCs w:val="20"/>
        </w:rPr>
      </w:pPr>
    </w:p>
    <w:p w14:paraId="06707DA2" w14:textId="57314567"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6</w:t>
      </w:r>
      <w:r w:rsidRPr="00D501AD">
        <w:rPr>
          <w:rFonts w:ascii="Arial" w:hAnsi="Arial" w:cs="Arial"/>
          <w:b/>
          <w:sz w:val="20"/>
          <w:szCs w:val="20"/>
        </w:rPr>
        <w:t xml:space="preserve">. </w:t>
      </w:r>
      <w:r w:rsidR="001973A2" w:rsidRPr="00D501AD">
        <w:rPr>
          <w:rFonts w:ascii="Arial" w:hAnsi="Arial" w:cs="Arial"/>
          <w:b/>
          <w:sz w:val="20"/>
          <w:szCs w:val="20"/>
        </w:rPr>
        <w:t>Responsabilidad Sobre la Presentación Razonable de la Información Contable</w:t>
      </w:r>
      <w:r w:rsidR="005E231E" w:rsidRPr="00D501AD">
        <w:rPr>
          <w:rFonts w:ascii="Arial" w:hAnsi="Arial" w:cs="Arial"/>
          <w:b/>
          <w:sz w:val="20"/>
          <w:szCs w:val="20"/>
        </w:rPr>
        <w:t>:</w:t>
      </w:r>
    </w:p>
    <w:p w14:paraId="24905817" w14:textId="77777777" w:rsidR="007D1E76" w:rsidRPr="00D501AD" w:rsidRDefault="007D1E76" w:rsidP="007D1E76">
      <w:pPr>
        <w:spacing w:after="0" w:line="240" w:lineRule="auto"/>
        <w:jc w:val="both"/>
        <w:rPr>
          <w:rFonts w:ascii="Arial" w:hAnsi="Arial" w:cs="Arial"/>
          <w:sz w:val="20"/>
          <w:szCs w:val="20"/>
        </w:rPr>
      </w:pPr>
    </w:p>
    <w:p w14:paraId="50903296" w14:textId="77777777" w:rsidR="007D1E76" w:rsidRPr="00D501AD" w:rsidRDefault="001973A2" w:rsidP="00B60E68">
      <w:pPr>
        <w:spacing w:after="0" w:line="240" w:lineRule="auto"/>
        <w:ind w:firstLine="708"/>
        <w:jc w:val="both"/>
        <w:rPr>
          <w:rFonts w:ascii="Arial" w:hAnsi="Arial" w:cs="Arial"/>
          <w:sz w:val="20"/>
          <w:szCs w:val="20"/>
        </w:rPr>
      </w:pPr>
      <w:r w:rsidRPr="00D501AD">
        <w:rPr>
          <w:rFonts w:ascii="Arial" w:hAnsi="Arial" w:cs="Arial"/>
          <w:sz w:val="20"/>
          <w:szCs w:val="20"/>
        </w:rPr>
        <w:t xml:space="preserve">La Información Contable deberá estar firmada en cada página de </w:t>
      </w:r>
      <w:proofErr w:type="gramStart"/>
      <w:r w:rsidRPr="00D501AD">
        <w:rPr>
          <w:rFonts w:ascii="Arial" w:hAnsi="Arial" w:cs="Arial"/>
          <w:sz w:val="20"/>
          <w:szCs w:val="20"/>
        </w:rPr>
        <w:t>la misma</w:t>
      </w:r>
      <w:proofErr w:type="gramEnd"/>
      <w:r w:rsidRPr="00D501AD">
        <w:rPr>
          <w:rFonts w:ascii="Arial" w:hAnsi="Arial" w:cs="Arial"/>
          <w:sz w:val="20"/>
          <w:szCs w:val="20"/>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Pr="00D501AD" w:rsidRDefault="007D1E76" w:rsidP="007D1E76">
      <w:pPr>
        <w:pBdr>
          <w:bottom w:val="single" w:sz="12" w:space="1" w:color="auto"/>
        </w:pBdr>
        <w:spacing w:after="0" w:line="240" w:lineRule="auto"/>
        <w:jc w:val="both"/>
        <w:rPr>
          <w:rFonts w:ascii="Arial" w:hAnsi="Arial" w:cs="Arial"/>
          <w:sz w:val="20"/>
          <w:szCs w:val="20"/>
        </w:rPr>
      </w:pPr>
    </w:p>
    <w:tbl>
      <w:tblPr>
        <w:tblW w:w="10058" w:type="dxa"/>
        <w:tblInd w:w="-65" w:type="dxa"/>
        <w:tblCellMar>
          <w:left w:w="70" w:type="dxa"/>
          <w:right w:w="70" w:type="dxa"/>
        </w:tblCellMar>
        <w:tblLook w:val="04A0" w:firstRow="1" w:lastRow="0" w:firstColumn="1" w:lastColumn="0" w:noHBand="0" w:noVBand="1"/>
      </w:tblPr>
      <w:tblGrid>
        <w:gridCol w:w="4596"/>
        <w:gridCol w:w="1716"/>
        <w:gridCol w:w="1676"/>
        <w:gridCol w:w="1636"/>
        <w:gridCol w:w="434"/>
      </w:tblGrid>
      <w:tr w:rsidR="00B60E68" w:rsidRPr="00B60E68" w14:paraId="01E77563" w14:textId="77777777" w:rsidTr="004775D9">
        <w:trPr>
          <w:trHeight w:val="495"/>
        </w:trPr>
        <w:tc>
          <w:tcPr>
            <w:tcW w:w="10058" w:type="dxa"/>
            <w:gridSpan w:val="5"/>
            <w:tcBorders>
              <w:top w:val="nil"/>
              <w:left w:val="nil"/>
              <w:bottom w:val="nil"/>
              <w:right w:val="nil"/>
            </w:tcBorders>
            <w:hideMark/>
          </w:tcPr>
          <w:p w14:paraId="11FF1579" w14:textId="77777777" w:rsidR="00B60E68" w:rsidRPr="00B60E68" w:rsidRDefault="00B60E68" w:rsidP="00B60E68">
            <w:pPr>
              <w:spacing w:after="0" w:line="240" w:lineRule="auto"/>
              <w:jc w:val="both"/>
              <w:rPr>
                <w:rFonts w:ascii="Arial" w:eastAsia="Times New Roman" w:hAnsi="Arial" w:cs="Arial"/>
                <w:sz w:val="20"/>
                <w:szCs w:val="20"/>
                <w:lang w:eastAsia="es-MX"/>
              </w:rPr>
            </w:pPr>
            <w:r w:rsidRPr="00B60E68">
              <w:rPr>
                <w:rFonts w:ascii="Arial" w:eastAsia="Times New Roman" w:hAnsi="Arial" w:cs="Arial"/>
                <w:sz w:val="20"/>
                <w:szCs w:val="20"/>
                <w:lang w:eastAsia="es-MX"/>
              </w:rPr>
              <w:t>Bajo protesta de decir verdad declaramos que los Estados Financieros y sus notas, son razonablemente correctos y son responsabilidad del emisor.</w:t>
            </w:r>
          </w:p>
        </w:tc>
      </w:tr>
      <w:tr w:rsidR="00B60E68" w:rsidRPr="00B60E68" w14:paraId="20B4752D" w14:textId="77777777" w:rsidTr="004775D9">
        <w:trPr>
          <w:trHeight w:val="495"/>
        </w:trPr>
        <w:tc>
          <w:tcPr>
            <w:tcW w:w="4596" w:type="dxa"/>
            <w:tcBorders>
              <w:top w:val="nil"/>
              <w:left w:val="nil"/>
              <w:bottom w:val="nil"/>
              <w:right w:val="nil"/>
            </w:tcBorders>
            <w:hideMark/>
          </w:tcPr>
          <w:p w14:paraId="278F13CF" w14:textId="77777777" w:rsidR="00B60E68" w:rsidRPr="00B60E68" w:rsidRDefault="00B60E68" w:rsidP="00B60E68">
            <w:pPr>
              <w:spacing w:after="0" w:line="240" w:lineRule="auto"/>
              <w:ind w:firstLineChars="100" w:firstLine="200"/>
              <w:jc w:val="both"/>
              <w:rPr>
                <w:rFonts w:ascii="Arial" w:eastAsia="Times New Roman" w:hAnsi="Arial" w:cs="Arial"/>
                <w:sz w:val="20"/>
                <w:szCs w:val="20"/>
                <w:lang w:eastAsia="es-MX"/>
              </w:rPr>
            </w:pPr>
          </w:p>
        </w:tc>
        <w:tc>
          <w:tcPr>
            <w:tcW w:w="1716" w:type="dxa"/>
            <w:tcBorders>
              <w:top w:val="nil"/>
              <w:left w:val="nil"/>
              <w:bottom w:val="nil"/>
              <w:right w:val="nil"/>
            </w:tcBorders>
            <w:hideMark/>
          </w:tcPr>
          <w:p w14:paraId="36F7B28F"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76" w:type="dxa"/>
            <w:tcBorders>
              <w:top w:val="nil"/>
              <w:left w:val="nil"/>
              <w:bottom w:val="nil"/>
              <w:right w:val="nil"/>
            </w:tcBorders>
            <w:hideMark/>
          </w:tcPr>
          <w:p w14:paraId="5789F7EE"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36" w:type="dxa"/>
            <w:tcBorders>
              <w:top w:val="nil"/>
              <w:left w:val="nil"/>
              <w:bottom w:val="nil"/>
              <w:right w:val="nil"/>
            </w:tcBorders>
            <w:hideMark/>
          </w:tcPr>
          <w:p w14:paraId="62F9597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434" w:type="dxa"/>
            <w:tcBorders>
              <w:top w:val="nil"/>
              <w:left w:val="nil"/>
              <w:bottom w:val="nil"/>
              <w:right w:val="nil"/>
            </w:tcBorders>
            <w:hideMark/>
          </w:tcPr>
          <w:p w14:paraId="12E9718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r>
      <w:tr w:rsidR="00B60E68" w:rsidRPr="00B60E68" w14:paraId="059ED34C" w14:textId="77777777" w:rsidTr="004775D9">
        <w:trPr>
          <w:trHeight w:val="300"/>
        </w:trPr>
        <w:tc>
          <w:tcPr>
            <w:tcW w:w="4596" w:type="dxa"/>
            <w:tcBorders>
              <w:top w:val="nil"/>
              <w:left w:val="nil"/>
              <w:bottom w:val="nil"/>
              <w:right w:val="nil"/>
            </w:tcBorders>
            <w:hideMark/>
          </w:tcPr>
          <w:p w14:paraId="45FFF6DF" w14:textId="7F0A22E1" w:rsidR="00B60E68" w:rsidRPr="00B60E68" w:rsidRDefault="002311F8" w:rsidP="00B60E68">
            <w:pPr>
              <w:spacing w:after="0" w:line="240" w:lineRule="auto"/>
              <w:ind w:firstLineChars="100" w:firstLine="160"/>
              <w:rPr>
                <w:rFonts w:ascii="Arial" w:eastAsia="Times New Roman" w:hAnsi="Arial" w:cs="Arial"/>
                <w:sz w:val="20"/>
                <w:szCs w:val="20"/>
                <w:lang w:eastAsia="es-MX"/>
              </w:rPr>
            </w:pPr>
            <w:r>
              <w:rPr>
                <w:rFonts w:ascii="Arial" w:eastAsia="Times New Roman" w:hAnsi="Arial" w:cs="Arial"/>
                <w:noProof/>
                <w:color w:val="000000"/>
                <w:sz w:val="16"/>
                <w:szCs w:val="16"/>
                <w:lang w:eastAsia="es-MX"/>
              </w:rPr>
              <mc:AlternateContent>
                <mc:Choice Requires="wps">
                  <w:drawing>
                    <wp:anchor distT="0" distB="0" distL="114300" distR="114300" simplePos="0" relativeHeight="251658240" behindDoc="0" locked="0" layoutInCell="1" allowOverlap="1" wp14:anchorId="1B5E76C5" wp14:editId="6E82A5A1">
                      <wp:simplePos x="0" y="0"/>
                      <wp:positionH relativeFrom="column">
                        <wp:posOffset>156845</wp:posOffset>
                      </wp:positionH>
                      <wp:positionV relativeFrom="paragraph">
                        <wp:posOffset>179070</wp:posOffset>
                      </wp:positionV>
                      <wp:extent cx="6393180" cy="50673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393180" cy="50673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9EB3B6" w14:textId="29042061"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ELABORÓ                                                                                                                                       </w:t>
                                  </w:r>
                                  <w:r w:rsidR="00BA1C62">
                                    <w:rPr>
                                      <w:rFonts w:ascii="Arial" w:hAnsi="Arial" w:cs="Arial"/>
                                      <w:color w:val="000000" w:themeColor="text1"/>
                                      <w:sz w:val="15"/>
                                      <w:szCs w:val="15"/>
                                    </w:rPr>
                                    <w:t xml:space="preserve">         </w:t>
                                  </w:r>
                                  <w:r>
                                    <w:rPr>
                                      <w:rFonts w:ascii="Arial" w:hAnsi="Arial" w:cs="Arial"/>
                                      <w:color w:val="000000" w:themeColor="text1"/>
                                      <w:sz w:val="15"/>
                                      <w:szCs w:val="15"/>
                                    </w:rPr>
                                    <w:t xml:space="preserve"> AUTORIZÓ</w:t>
                                  </w:r>
                                </w:p>
                                <w:p w14:paraId="766116FE" w14:textId="552ED61F"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DIRECTOR ADMINISTRATIVO                                                                                                     </w:t>
                                  </w:r>
                                  <w:r w:rsidR="00BA1C62">
                                    <w:rPr>
                                      <w:rFonts w:ascii="Arial" w:hAnsi="Arial" w:cs="Arial"/>
                                      <w:color w:val="000000" w:themeColor="text1"/>
                                      <w:sz w:val="15"/>
                                      <w:szCs w:val="15"/>
                                    </w:rPr>
                                    <w:t xml:space="preserve">           </w:t>
                                  </w:r>
                                  <w:r>
                                    <w:rPr>
                                      <w:rFonts w:ascii="Arial" w:hAnsi="Arial" w:cs="Arial"/>
                                      <w:color w:val="000000" w:themeColor="text1"/>
                                      <w:sz w:val="15"/>
                                      <w:szCs w:val="15"/>
                                    </w:rPr>
                                    <w:t>PRESIDENT</w:t>
                                  </w:r>
                                  <w:r w:rsidR="00013EF2">
                                    <w:rPr>
                                      <w:rFonts w:ascii="Arial" w:hAnsi="Arial" w:cs="Arial"/>
                                      <w:color w:val="000000" w:themeColor="text1"/>
                                      <w:sz w:val="15"/>
                                      <w:szCs w:val="15"/>
                                    </w:rPr>
                                    <w:t>A</w:t>
                                  </w:r>
                                  <w:r>
                                    <w:rPr>
                                      <w:rFonts w:ascii="Arial" w:hAnsi="Arial" w:cs="Arial"/>
                                      <w:color w:val="000000" w:themeColor="text1"/>
                                      <w:sz w:val="15"/>
                                      <w:szCs w:val="15"/>
                                    </w:rPr>
                                    <w:t xml:space="preserve"> DEL TRIBUNAL</w:t>
                                  </w:r>
                                </w:p>
                                <w:p w14:paraId="05BC123A" w14:textId="38ABE1D2" w:rsidR="00B60E68" w:rsidRDefault="00DF626E" w:rsidP="00B60E68">
                                  <w:pPr>
                                    <w:pStyle w:val="NormalWeb"/>
                                    <w:spacing w:before="0" w:beforeAutospacing="0" w:after="0" w:afterAutospacing="0"/>
                                  </w:pPr>
                                  <w:r>
                                    <w:rPr>
                                      <w:rFonts w:ascii="Arial" w:hAnsi="Arial" w:cs="Arial"/>
                                      <w:color w:val="000000" w:themeColor="text1"/>
                                      <w:sz w:val="15"/>
                                      <w:szCs w:val="15"/>
                                    </w:rPr>
                                    <w:t xml:space="preserve">       LIC. SERGIO OJEDA CANO</w:t>
                                  </w:r>
                                  <w:r w:rsidR="00B60E68" w:rsidRPr="00DF626E">
                                    <w:rPr>
                                      <w:rFonts w:ascii="Arial" w:hAnsi="Arial" w:cs="Arial"/>
                                      <w:color w:val="000000" w:themeColor="text1"/>
                                      <w:sz w:val="15"/>
                                      <w:szCs w:val="15"/>
                                    </w:rPr>
                                    <w:t xml:space="preserve">                                                                                           </w:t>
                                  </w:r>
                                  <w:r>
                                    <w:rPr>
                                      <w:rFonts w:ascii="Arial" w:hAnsi="Arial" w:cs="Arial"/>
                                      <w:color w:val="000000" w:themeColor="text1"/>
                                      <w:sz w:val="15"/>
                                      <w:szCs w:val="15"/>
                                    </w:rPr>
                                    <w:t xml:space="preserve">        </w:t>
                                  </w:r>
                                  <w:r w:rsidR="00B60E68" w:rsidRPr="00DF626E">
                                    <w:rPr>
                                      <w:rFonts w:ascii="Arial" w:hAnsi="Arial" w:cs="Arial"/>
                                      <w:color w:val="000000" w:themeColor="text1"/>
                                      <w:sz w:val="15"/>
                                      <w:szCs w:val="15"/>
                                    </w:rPr>
                                    <w:t>MAG</w:t>
                                  </w:r>
                                  <w:r w:rsidR="002D3837">
                                    <w:rPr>
                                      <w:rFonts w:ascii="Arial" w:hAnsi="Arial" w:cs="Arial"/>
                                      <w:color w:val="000000" w:themeColor="text1"/>
                                      <w:sz w:val="15"/>
                                      <w:szCs w:val="15"/>
                                    </w:rPr>
                                    <w:t>DA</w:t>
                                  </w:r>
                                  <w:r w:rsidR="00B60E68" w:rsidRPr="00DF626E">
                                    <w:rPr>
                                      <w:rFonts w:ascii="Arial" w:hAnsi="Arial" w:cs="Arial"/>
                                      <w:color w:val="000000" w:themeColor="text1"/>
                                      <w:sz w:val="15"/>
                                      <w:szCs w:val="15"/>
                                    </w:rPr>
                                    <w:t xml:space="preserve">. </w:t>
                                  </w:r>
                                  <w:r w:rsidR="0018339F">
                                    <w:rPr>
                                      <w:rFonts w:ascii="Arial" w:hAnsi="Arial" w:cs="Arial"/>
                                      <w:color w:val="000000" w:themeColor="text1"/>
                                      <w:sz w:val="15"/>
                                      <w:szCs w:val="15"/>
                                    </w:rPr>
                                    <w:t>MAR</w:t>
                                  </w:r>
                                  <w:r w:rsidR="002D3837">
                                    <w:rPr>
                                      <w:rFonts w:ascii="Arial" w:hAnsi="Arial" w:cs="Arial"/>
                                      <w:color w:val="000000" w:themeColor="text1"/>
                                      <w:sz w:val="15"/>
                                      <w:szCs w:val="15"/>
                                    </w:rPr>
                                    <w:t>Í</w:t>
                                  </w:r>
                                  <w:r w:rsidR="0018339F">
                                    <w:rPr>
                                      <w:rFonts w:ascii="Arial" w:hAnsi="Arial" w:cs="Arial"/>
                                      <w:color w:val="000000" w:themeColor="text1"/>
                                      <w:sz w:val="15"/>
                                      <w:szCs w:val="15"/>
                                    </w:rPr>
                                    <w:t>A RAQUEL BARAJAS MONJAR</w:t>
                                  </w:r>
                                  <w:r w:rsidR="002D3837">
                                    <w:rPr>
                                      <w:rFonts w:ascii="Arial" w:hAnsi="Arial" w:cs="Arial"/>
                                      <w:color w:val="000000" w:themeColor="text1"/>
                                      <w:sz w:val="15"/>
                                      <w:szCs w:val="15"/>
                                    </w:rPr>
                                    <w:t>Á</w:t>
                                  </w:r>
                                  <w:r w:rsidR="0018339F">
                                    <w:rPr>
                                      <w:rFonts w:ascii="Arial" w:hAnsi="Arial" w:cs="Arial"/>
                                      <w:color w:val="000000" w:themeColor="text1"/>
                                      <w:sz w:val="15"/>
                                      <w:szCs w:val="15"/>
                                    </w:rPr>
                                    <w:t>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B5E76C5" id="_x0000_t202" coordsize="21600,21600" o:spt="202" path="m,l,21600r21600,l21600,xe">
                      <v:stroke joinstyle="miter"/>
                      <v:path gradientshapeok="t" o:connecttype="rect"/>
                    </v:shapetype>
                    <v:shape id="Cuadro de texto 2" o:spid="_x0000_s1026" type="#_x0000_t202" style="position:absolute;left:0;text-align:left;margin-left:12.35pt;margin-top:14.1pt;width:503.4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" filled="f" stroked="f">
                      <v:textbox>
                        <w:txbxContent>
                          <w:p w14:paraId="2F9EB3B6" w14:textId="29042061"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ELABORÓ                                                                                                                                       </w:t>
                            </w:r>
                            <w:r w:rsidR="00BA1C62">
                              <w:rPr>
                                <w:rFonts w:ascii="Arial" w:hAnsi="Arial" w:cs="Arial"/>
                                <w:color w:val="000000" w:themeColor="text1"/>
                                <w:sz w:val="15"/>
                                <w:szCs w:val="15"/>
                              </w:rPr>
                              <w:t xml:space="preserve">         </w:t>
                            </w:r>
                            <w:r>
                              <w:rPr>
                                <w:rFonts w:ascii="Arial" w:hAnsi="Arial" w:cs="Arial"/>
                                <w:color w:val="000000" w:themeColor="text1"/>
                                <w:sz w:val="15"/>
                                <w:szCs w:val="15"/>
                              </w:rPr>
                              <w:t xml:space="preserve"> AUTORIZÓ</w:t>
                            </w:r>
                          </w:p>
                          <w:p w14:paraId="766116FE" w14:textId="552ED61F"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DIRECTOR ADMINISTRATIVO                                                                                                     </w:t>
                            </w:r>
                            <w:r w:rsidR="00BA1C62">
                              <w:rPr>
                                <w:rFonts w:ascii="Arial" w:hAnsi="Arial" w:cs="Arial"/>
                                <w:color w:val="000000" w:themeColor="text1"/>
                                <w:sz w:val="15"/>
                                <w:szCs w:val="15"/>
                              </w:rPr>
                              <w:t xml:space="preserve">           </w:t>
                            </w:r>
                            <w:r>
                              <w:rPr>
                                <w:rFonts w:ascii="Arial" w:hAnsi="Arial" w:cs="Arial"/>
                                <w:color w:val="000000" w:themeColor="text1"/>
                                <w:sz w:val="15"/>
                                <w:szCs w:val="15"/>
                              </w:rPr>
                              <w:t>PRESIDENT</w:t>
                            </w:r>
                            <w:r w:rsidR="00013EF2">
                              <w:rPr>
                                <w:rFonts w:ascii="Arial" w:hAnsi="Arial" w:cs="Arial"/>
                                <w:color w:val="000000" w:themeColor="text1"/>
                                <w:sz w:val="15"/>
                                <w:szCs w:val="15"/>
                              </w:rPr>
                              <w:t>A</w:t>
                            </w:r>
                            <w:r>
                              <w:rPr>
                                <w:rFonts w:ascii="Arial" w:hAnsi="Arial" w:cs="Arial"/>
                                <w:color w:val="000000" w:themeColor="text1"/>
                                <w:sz w:val="15"/>
                                <w:szCs w:val="15"/>
                              </w:rPr>
                              <w:t xml:space="preserve"> DEL TRIBUNAL</w:t>
                            </w:r>
                          </w:p>
                          <w:p w14:paraId="05BC123A" w14:textId="38ABE1D2" w:rsidR="00B60E68" w:rsidRDefault="00DF626E" w:rsidP="00B60E68">
                            <w:pPr>
                              <w:pStyle w:val="NormalWeb"/>
                              <w:spacing w:before="0" w:beforeAutospacing="0" w:after="0" w:afterAutospacing="0"/>
                            </w:pPr>
                            <w:r>
                              <w:rPr>
                                <w:rFonts w:ascii="Arial" w:hAnsi="Arial" w:cs="Arial"/>
                                <w:color w:val="000000" w:themeColor="text1"/>
                                <w:sz w:val="15"/>
                                <w:szCs w:val="15"/>
                              </w:rPr>
                              <w:t xml:space="preserve">       LIC. SERGIO OJEDA CANO</w:t>
                            </w:r>
                            <w:r w:rsidR="00B60E68" w:rsidRPr="00DF626E">
                              <w:rPr>
                                <w:rFonts w:ascii="Arial" w:hAnsi="Arial" w:cs="Arial"/>
                                <w:color w:val="000000" w:themeColor="text1"/>
                                <w:sz w:val="15"/>
                                <w:szCs w:val="15"/>
                              </w:rPr>
                              <w:t xml:space="preserve">                                                                                           </w:t>
                            </w:r>
                            <w:r>
                              <w:rPr>
                                <w:rFonts w:ascii="Arial" w:hAnsi="Arial" w:cs="Arial"/>
                                <w:color w:val="000000" w:themeColor="text1"/>
                                <w:sz w:val="15"/>
                                <w:szCs w:val="15"/>
                              </w:rPr>
                              <w:t xml:space="preserve">        </w:t>
                            </w:r>
                            <w:r w:rsidR="00B60E68" w:rsidRPr="00DF626E">
                              <w:rPr>
                                <w:rFonts w:ascii="Arial" w:hAnsi="Arial" w:cs="Arial"/>
                                <w:color w:val="000000" w:themeColor="text1"/>
                                <w:sz w:val="15"/>
                                <w:szCs w:val="15"/>
                              </w:rPr>
                              <w:t>MAG</w:t>
                            </w:r>
                            <w:r w:rsidR="002D3837">
                              <w:rPr>
                                <w:rFonts w:ascii="Arial" w:hAnsi="Arial" w:cs="Arial"/>
                                <w:color w:val="000000" w:themeColor="text1"/>
                                <w:sz w:val="15"/>
                                <w:szCs w:val="15"/>
                              </w:rPr>
                              <w:t>DA</w:t>
                            </w:r>
                            <w:r w:rsidR="00B60E68" w:rsidRPr="00DF626E">
                              <w:rPr>
                                <w:rFonts w:ascii="Arial" w:hAnsi="Arial" w:cs="Arial"/>
                                <w:color w:val="000000" w:themeColor="text1"/>
                                <w:sz w:val="15"/>
                                <w:szCs w:val="15"/>
                              </w:rPr>
                              <w:t xml:space="preserve">. </w:t>
                            </w:r>
                            <w:r w:rsidR="0018339F">
                              <w:rPr>
                                <w:rFonts w:ascii="Arial" w:hAnsi="Arial" w:cs="Arial"/>
                                <w:color w:val="000000" w:themeColor="text1"/>
                                <w:sz w:val="15"/>
                                <w:szCs w:val="15"/>
                              </w:rPr>
                              <w:t>MAR</w:t>
                            </w:r>
                            <w:r w:rsidR="002D3837">
                              <w:rPr>
                                <w:rFonts w:ascii="Arial" w:hAnsi="Arial" w:cs="Arial"/>
                                <w:color w:val="000000" w:themeColor="text1"/>
                                <w:sz w:val="15"/>
                                <w:szCs w:val="15"/>
                              </w:rPr>
                              <w:t>Í</w:t>
                            </w:r>
                            <w:r w:rsidR="0018339F">
                              <w:rPr>
                                <w:rFonts w:ascii="Arial" w:hAnsi="Arial" w:cs="Arial"/>
                                <w:color w:val="000000" w:themeColor="text1"/>
                                <w:sz w:val="15"/>
                                <w:szCs w:val="15"/>
                              </w:rPr>
                              <w:t>A RAQUEL BARAJAS MONJAR</w:t>
                            </w:r>
                            <w:r w:rsidR="002D3837">
                              <w:rPr>
                                <w:rFonts w:ascii="Arial" w:hAnsi="Arial" w:cs="Arial"/>
                                <w:color w:val="000000" w:themeColor="text1"/>
                                <w:sz w:val="15"/>
                                <w:szCs w:val="15"/>
                              </w:rPr>
                              <w:t>Á</w:t>
                            </w:r>
                            <w:r w:rsidR="0018339F">
                              <w:rPr>
                                <w:rFonts w:ascii="Arial" w:hAnsi="Arial" w:cs="Arial"/>
                                <w:color w:val="000000" w:themeColor="text1"/>
                                <w:sz w:val="15"/>
                                <w:szCs w:val="15"/>
                              </w:rPr>
                              <w:t>S</w:t>
                            </w:r>
                          </w:p>
                        </w:txbxContent>
                      </v:textbox>
                    </v:shape>
                  </w:pict>
                </mc:Fallback>
              </mc:AlternateContent>
            </w:r>
          </w:p>
        </w:tc>
        <w:tc>
          <w:tcPr>
            <w:tcW w:w="1716" w:type="dxa"/>
            <w:tcBorders>
              <w:top w:val="nil"/>
              <w:left w:val="nil"/>
              <w:bottom w:val="nil"/>
              <w:right w:val="nil"/>
            </w:tcBorders>
            <w:hideMark/>
          </w:tcPr>
          <w:p w14:paraId="07AE9358"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76" w:type="dxa"/>
            <w:tcBorders>
              <w:top w:val="nil"/>
              <w:left w:val="nil"/>
              <w:bottom w:val="nil"/>
              <w:right w:val="nil"/>
            </w:tcBorders>
            <w:hideMark/>
          </w:tcPr>
          <w:p w14:paraId="4F5751A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36" w:type="dxa"/>
            <w:tcBorders>
              <w:top w:val="nil"/>
              <w:left w:val="nil"/>
              <w:bottom w:val="nil"/>
              <w:right w:val="nil"/>
            </w:tcBorders>
            <w:hideMark/>
          </w:tcPr>
          <w:p w14:paraId="63E3BCAB"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434" w:type="dxa"/>
            <w:tcBorders>
              <w:top w:val="nil"/>
              <w:left w:val="nil"/>
              <w:bottom w:val="nil"/>
              <w:right w:val="nil"/>
            </w:tcBorders>
            <w:hideMark/>
          </w:tcPr>
          <w:p w14:paraId="32C9DFE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r>
      <w:tr w:rsidR="00B60E68" w:rsidRPr="00B60E68" w14:paraId="1CC40C0F" w14:textId="77777777" w:rsidTr="004775D9">
        <w:trPr>
          <w:trHeight w:val="225"/>
        </w:trPr>
        <w:tc>
          <w:tcPr>
            <w:tcW w:w="4596" w:type="dxa"/>
            <w:tcBorders>
              <w:top w:val="nil"/>
              <w:left w:val="nil"/>
              <w:bottom w:val="nil"/>
              <w:right w:val="nil"/>
            </w:tcBorders>
            <w:hideMark/>
          </w:tcPr>
          <w:p w14:paraId="391CB731" w14:textId="46EA684B" w:rsidR="00B60E68" w:rsidRPr="00B60E68" w:rsidRDefault="00B60E68" w:rsidP="00B60E68">
            <w:pPr>
              <w:spacing w:after="0" w:line="240" w:lineRule="auto"/>
              <w:rPr>
                <w:rFonts w:ascii="Arial" w:eastAsia="Times New Roman" w:hAnsi="Arial" w:cs="Arial"/>
                <w:sz w:val="16"/>
                <w:szCs w:val="16"/>
                <w:lang w:eastAsia="es-MX"/>
              </w:rPr>
            </w:pPr>
          </w:p>
        </w:tc>
        <w:tc>
          <w:tcPr>
            <w:tcW w:w="1716" w:type="dxa"/>
            <w:tcBorders>
              <w:top w:val="nil"/>
              <w:left w:val="nil"/>
              <w:bottom w:val="nil"/>
              <w:right w:val="nil"/>
            </w:tcBorders>
            <w:hideMark/>
          </w:tcPr>
          <w:p w14:paraId="1DACAF90"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76" w:type="dxa"/>
            <w:tcBorders>
              <w:top w:val="nil"/>
              <w:left w:val="nil"/>
              <w:bottom w:val="nil"/>
              <w:right w:val="nil"/>
            </w:tcBorders>
            <w:hideMark/>
          </w:tcPr>
          <w:p w14:paraId="04D7FC36" w14:textId="18F80CA7" w:rsidR="00B60E68" w:rsidRPr="00B60E68" w:rsidRDefault="00B60E68" w:rsidP="00B60E68">
            <w:pPr>
              <w:spacing w:after="0" w:line="240" w:lineRule="auto"/>
              <w:rPr>
                <w:rFonts w:ascii="Arial" w:eastAsia="Times New Roman" w:hAnsi="Arial" w:cs="Arial"/>
                <w:sz w:val="16"/>
                <w:szCs w:val="16"/>
                <w:lang w:eastAsia="es-MX"/>
              </w:rPr>
            </w:pPr>
          </w:p>
        </w:tc>
        <w:tc>
          <w:tcPr>
            <w:tcW w:w="1636" w:type="dxa"/>
            <w:tcBorders>
              <w:top w:val="nil"/>
              <w:left w:val="nil"/>
              <w:bottom w:val="nil"/>
              <w:right w:val="nil"/>
            </w:tcBorders>
            <w:hideMark/>
          </w:tcPr>
          <w:p w14:paraId="6CF34F5F"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434" w:type="dxa"/>
            <w:tcBorders>
              <w:top w:val="nil"/>
              <w:left w:val="nil"/>
              <w:bottom w:val="nil"/>
              <w:right w:val="nil"/>
            </w:tcBorders>
            <w:hideMark/>
          </w:tcPr>
          <w:p w14:paraId="4D38F2B6" w14:textId="77777777" w:rsidR="00B60E68" w:rsidRPr="00B60E68" w:rsidRDefault="00B60E68" w:rsidP="00B60E68">
            <w:pPr>
              <w:spacing w:after="0" w:line="240" w:lineRule="auto"/>
              <w:rPr>
                <w:rFonts w:ascii="Arial" w:eastAsia="Times New Roman" w:hAnsi="Arial" w:cs="Arial"/>
                <w:sz w:val="16"/>
                <w:szCs w:val="16"/>
                <w:lang w:eastAsia="es-MX"/>
              </w:rPr>
            </w:pPr>
          </w:p>
        </w:tc>
      </w:tr>
      <w:tr w:rsidR="00B60E68" w:rsidRPr="00B60E68" w14:paraId="7E12069D" w14:textId="77777777" w:rsidTr="004775D9">
        <w:trPr>
          <w:trHeight w:val="225"/>
        </w:trPr>
        <w:tc>
          <w:tcPr>
            <w:tcW w:w="4596" w:type="dxa"/>
            <w:tcBorders>
              <w:top w:val="nil"/>
              <w:left w:val="nil"/>
              <w:bottom w:val="nil"/>
              <w:right w:val="nil"/>
            </w:tcBorders>
            <w:noWrap/>
            <w:vAlign w:val="bottom"/>
            <w:hideMark/>
          </w:tcPr>
          <w:p w14:paraId="280F4A0E" w14:textId="7F2213D9" w:rsidR="00B60E68" w:rsidRPr="00B60E68" w:rsidRDefault="00B60E68" w:rsidP="00B60E68">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456"/>
            </w:tblGrid>
            <w:tr w:rsidR="00B60E68" w:rsidRPr="00B60E68" w14:paraId="1B109B11" w14:textId="77777777">
              <w:trPr>
                <w:trHeight w:val="225"/>
                <w:tblCellSpacing w:w="0" w:type="dxa"/>
              </w:trPr>
              <w:tc>
                <w:tcPr>
                  <w:tcW w:w="4580" w:type="dxa"/>
                  <w:tcBorders>
                    <w:top w:val="nil"/>
                    <w:left w:val="nil"/>
                    <w:bottom w:val="nil"/>
                    <w:right w:val="nil"/>
                  </w:tcBorders>
                  <w:hideMark/>
                </w:tcPr>
                <w:p w14:paraId="6D98D42C" w14:textId="0B6E3E40" w:rsidR="00B60E68" w:rsidRPr="00B60E68" w:rsidRDefault="00B60E68" w:rsidP="00B60E68">
                  <w:pPr>
                    <w:spacing w:after="0" w:line="240" w:lineRule="auto"/>
                    <w:rPr>
                      <w:rFonts w:ascii="Arial" w:eastAsia="Times New Roman" w:hAnsi="Arial" w:cs="Arial"/>
                      <w:sz w:val="16"/>
                      <w:szCs w:val="16"/>
                      <w:lang w:eastAsia="es-MX"/>
                    </w:rPr>
                  </w:pPr>
                </w:p>
              </w:tc>
            </w:tr>
          </w:tbl>
          <w:p w14:paraId="6719910C" w14:textId="77777777" w:rsidR="00B60E68" w:rsidRPr="00B60E68" w:rsidRDefault="00B60E68" w:rsidP="00B60E68">
            <w:pPr>
              <w:spacing w:after="0" w:line="240" w:lineRule="auto"/>
              <w:rPr>
                <w:rFonts w:ascii="Arial" w:eastAsia="Times New Roman" w:hAnsi="Arial" w:cs="Arial"/>
                <w:color w:val="000000"/>
                <w:sz w:val="16"/>
                <w:szCs w:val="16"/>
                <w:lang w:eastAsia="es-MX"/>
              </w:rPr>
            </w:pPr>
          </w:p>
        </w:tc>
        <w:tc>
          <w:tcPr>
            <w:tcW w:w="1716" w:type="dxa"/>
            <w:tcBorders>
              <w:top w:val="nil"/>
              <w:left w:val="nil"/>
              <w:bottom w:val="nil"/>
              <w:right w:val="nil"/>
            </w:tcBorders>
            <w:hideMark/>
          </w:tcPr>
          <w:p w14:paraId="5ADE6A33"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76" w:type="dxa"/>
            <w:tcBorders>
              <w:top w:val="nil"/>
              <w:left w:val="nil"/>
              <w:bottom w:val="nil"/>
              <w:right w:val="nil"/>
            </w:tcBorders>
            <w:hideMark/>
          </w:tcPr>
          <w:p w14:paraId="219D1580"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36" w:type="dxa"/>
            <w:tcBorders>
              <w:top w:val="nil"/>
              <w:left w:val="nil"/>
              <w:bottom w:val="nil"/>
              <w:right w:val="nil"/>
            </w:tcBorders>
            <w:hideMark/>
          </w:tcPr>
          <w:p w14:paraId="224E835A"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434" w:type="dxa"/>
            <w:tcBorders>
              <w:top w:val="nil"/>
              <w:left w:val="nil"/>
              <w:bottom w:val="nil"/>
              <w:right w:val="nil"/>
            </w:tcBorders>
            <w:hideMark/>
          </w:tcPr>
          <w:p w14:paraId="3911E1D9" w14:textId="77777777" w:rsidR="00B60E68" w:rsidRPr="00B60E68" w:rsidRDefault="00B60E68" w:rsidP="00B60E68">
            <w:pPr>
              <w:spacing w:after="0" w:line="240" w:lineRule="auto"/>
              <w:rPr>
                <w:rFonts w:ascii="Arial" w:eastAsia="Times New Roman" w:hAnsi="Arial" w:cs="Arial"/>
                <w:sz w:val="16"/>
                <w:szCs w:val="16"/>
                <w:lang w:eastAsia="es-MX"/>
              </w:rPr>
            </w:pPr>
          </w:p>
        </w:tc>
      </w:tr>
    </w:tbl>
    <w:p w14:paraId="3A1DCDD4" w14:textId="77777777" w:rsidR="00AE1F6A" w:rsidRPr="00D501AD" w:rsidRDefault="00AE1F6A" w:rsidP="00B46169">
      <w:pPr>
        <w:pBdr>
          <w:bottom w:val="single" w:sz="12" w:space="1" w:color="auto"/>
        </w:pBdr>
        <w:spacing w:after="0" w:line="240" w:lineRule="auto"/>
        <w:jc w:val="both"/>
        <w:rPr>
          <w:rFonts w:ascii="Arial" w:hAnsi="Arial" w:cs="Arial"/>
          <w:sz w:val="20"/>
          <w:szCs w:val="20"/>
        </w:rPr>
      </w:pPr>
    </w:p>
    <w:sectPr w:rsidR="00AE1F6A" w:rsidRPr="00D501AD" w:rsidSect="00582789">
      <w:headerReference w:type="default" r:id="rId12"/>
      <w:pgSz w:w="12240" w:h="15840" w:code="1"/>
      <w:pgMar w:top="1588" w:right="720" w:bottom="192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B9FC" w14:textId="77777777" w:rsidR="00EB30FA" w:rsidRDefault="00EB30FA" w:rsidP="00E00323">
      <w:pPr>
        <w:spacing w:after="0" w:line="240" w:lineRule="auto"/>
      </w:pPr>
      <w:r>
        <w:separator/>
      </w:r>
    </w:p>
  </w:endnote>
  <w:endnote w:type="continuationSeparator" w:id="0">
    <w:p w14:paraId="5E762FB6" w14:textId="77777777" w:rsidR="00EB30FA" w:rsidRDefault="00EB30F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38B2" w14:textId="77777777" w:rsidR="00EB30FA" w:rsidRDefault="00EB30FA" w:rsidP="00E00323">
      <w:pPr>
        <w:spacing w:after="0" w:line="240" w:lineRule="auto"/>
      </w:pPr>
      <w:r>
        <w:separator/>
      </w:r>
    </w:p>
  </w:footnote>
  <w:footnote w:type="continuationSeparator" w:id="0">
    <w:p w14:paraId="31238B21" w14:textId="77777777" w:rsidR="00EB30FA" w:rsidRDefault="00EB30F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165098D" w:rsidR="00154BA3" w:rsidRDefault="00154BA3" w:rsidP="00154BA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0EC5"/>
    <w:multiLevelType w:val="multilevel"/>
    <w:tmpl w:val="A5EC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651BA"/>
    <w:multiLevelType w:val="multilevel"/>
    <w:tmpl w:val="345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20B7B"/>
    <w:multiLevelType w:val="hybridMultilevel"/>
    <w:tmpl w:val="3D8C8202"/>
    <w:lvl w:ilvl="0" w:tplc="080A0001">
      <w:start w:val="1"/>
      <w:numFmt w:val="bullet"/>
      <w:lvlText w:val=""/>
      <w:lvlJc w:val="left"/>
      <w:pPr>
        <w:ind w:left="970" w:hanging="360"/>
      </w:pPr>
      <w:rPr>
        <w:rFonts w:ascii="Symbol" w:hAnsi="Symbol" w:hint="default"/>
      </w:rPr>
    </w:lvl>
    <w:lvl w:ilvl="1" w:tplc="080A0003" w:tentative="1">
      <w:start w:val="1"/>
      <w:numFmt w:val="bullet"/>
      <w:lvlText w:val="o"/>
      <w:lvlJc w:val="left"/>
      <w:pPr>
        <w:ind w:left="1690" w:hanging="360"/>
      </w:pPr>
      <w:rPr>
        <w:rFonts w:ascii="Courier New" w:hAnsi="Courier New" w:cs="Courier New" w:hint="default"/>
      </w:rPr>
    </w:lvl>
    <w:lvl w:ilvl="2" w:tplc="080A0005" w:tentative="1">
      <w:start w:val="1"/>
      <w:numFmt w:val="bullet"/>
      <w:lvlText w:val=""/>
      <w:lvlJc w:val="left"/>
      <w:pPr>
        <w:ind w:left="2410" w:hanging="360"/>
      </w:pPr>
      <w:rPr>
        <w:rFonts w:ascii="Wingdings" w:hAnsi="Wingdings" w:hint="default"/>
      </w:rPr>
    </w:lvl>
    <w:lvl w:ilvl="3" w:tplc="080A0001" w:tentative="1">
      <w:start w:val="1"/>
      <w:numFmt w:val="bullet"/>
      <w:lvlText w:val=""/>
      <w:lvlJc w:val="left"/>
      <w:pPr>
        <w:ind w:left="3130" w:hanging="360"/>
      </w:pPr>
      <w:rPr>
        <w:rFonts w:ascii="Symbol" w:hAnsi="Symbol" w:hint="default"/>
      </w:rPr>
    </w:lvl>
    <w:lvl w:ilvl="4" w:tplc="080A0003" w:tentative="1">
      <w:start w:val="1"/>
      <w:numFmt w:val="bullet"/>
      <w:lvlText w:val="o"/>
      <w:lvlJc w:val="left"/>
      <w:pPr>
        <w:ind w:left="3850" w:hanging="360"/>
      </w:pPr>
      <w:rPr>
        <w:rFonts w:ascii="Courier New" w:hAnsi="Courier New" w:cs="Courier New" w:hint="default"/>
      </w:rPr>
    </w:lvl>
    <w:lvl w:ilvl="5" w:tplc="080A0005" w:tentative="1">
      <w:start w:val="1"/>
      <w:numFmt w:val="bullet"/>
      <w:lvlText w:val=""/>
      <w:lvlJc w:val="left"/>
      <w:pPr>
        <w:ind w:left="4570" w:hanging="360"/>
      </w:pPr>
      <w:rPr>
        <w:rFonts w:ascii="Wingdings" w:hAnsi="Wingdings" w:hint="default"/>
      </w:rPr>
    </w:lvl>
    <w:lvl w:ilvl="6" w:tplc="080A0001" w:tentative="1">
      <w:start w:val="1"/>
      <w:numFmt w:val="bullet"/>
      <w:lvlText w:val=""/>
      <w:lvlJc w:val="left"/>
      <w:pPr>
        <w:ind w:left="5290" w:hanging="360"/>
      </w:pPr>
      <w:rPr>
        <w:rFonts w:ascii="Symbol" w:hAnsi="Symbol" w:hint="default"/>
      </w:rPr>
    </w:lvl>
    <w:lvl w:ilvl="7" w:tplc="080A0003" w:tentative="1">
      <w:start w:val="1"/>
      <w:numFmt w:val="bullet"/>
      <w:lvlText w:val="o"/>
      <w:lvlJc w:val="left"/>
      <w:pPr>
        <w:ind w:left="6010" w:hanging="360"/>
      </w:pPr>
      <w:rPr>
        <w:rFonts w:ascii="Courier New" w:hAnsi="Courier New" w:cs="Courier New" w:hint="default"/>
      </w:rPr>
    </w:lvl>
    <w:lvl w:ilvl="8" w:tplc="080A0005" w:tentative="1">
      <w:start w:val="1"/>
      <w:numFmt w:val="bullet"/>
      <w:lvlText w:val=""/>
      <w:lvlJc w:val="left"/>
      <w:pPr>
        <w:ind w:left="6730" w:hanging="360"/>
      </w:pPr>
      <w:rPr>
        <w:rFonts w:ascii="Wingdings" w:hAnsi="Wingdings" w:hint="default"/>
      </w:rPr>
    </w:lvl>
  </w:abstractNum>
  <w:abstractNum w:abstractNumId="3" w15:restartNumberingAfterBreak="0">
    <w:nsid w:val="3780732F"/>
    <w:multiLevelType w:val="hybridMultilevel"/>
    <w:tmpl w:val="3342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7301F7"/>
    <w:multiLevelType w:val="multilevel"/>
    <w:tmpl w:val="1E5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D6D9E"/>
    <w:multiLevelType w:val="multilevel"/>
    <w:tmpl w:val="340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F203A6"/>
    <w:multiLevelType w:val="multilevel"/>
    <w:tmpl w:val="400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D712A"/>
    <w:multiLevelType w:val="hybridMultilevel"/>
    <w:tmpl w:val="E05E1184"/>
    <w:lvl w:ilvl="0" w:tplc="EA6E03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F82FE1"/>
    <w:multiLevelType w:val="multilevel"/>
    <w:tmpl w:val="345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2C243E"/>
    <w:multiLevelType w:val="multilevel"/>
    <w:tmpl w:val="2448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564106">
    <w:abstractNumId w:val="6"/>
  </w:num>
  <w:num w:numId="2" w16cid:durableId="1644501321">
    <w:abstractNumId w:val="1"/>
  </w:num>
  <w:num w:numId="3" w16cid:durableId="1111824591">
    <w:abstractNumId w:val="0"/>
  </w:num>
  <w:num w:numId="4" w16cid:durableId="373622036">
    <w:abstractNumId w:val="9"/>
  </w:num>
  <w:num w:numId="5" w16cid:durableId="1945064980">
    <w:abstractNumId w:val="2"/>
  </w:num>
  <w:num w:numId="6" w16cid:durableId="405953493">
    <w:abstractNumId w:val="3"/>
  </w:num>
  <w:num w:numId="7" w16cid:durableId="448477388">
    <w:abstractNumId w:val="8"/>
  </w:num>
  <w:num w:numId="8" w16cid:durableId="789471096">
    <w:abstractNumId w:val="10"/>
  </w:num>
  <w:num w:numId="9" w16cid:durableId="874075462">
    <w:abstractNumId w:val="5"/>
  </w:num>
  <w:num w:numId="10" w16cid:durableId="190194874">
    <w:abstractNumId w:val="7"/>
  </w:num>
  <w:num w:numId="11" w16cid:durableId="1973050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7F46"/>
    <w:rsid w:val="00013EF2"/>
    <w:rsid w:val="00017A9E"/>
    <w:rsid w:val="00045805"/>
    <w:rsid w:val="00052D51"/>
    <w:rsid w:val="00077CE1"/>
    <w:rsid w:val="00085A2F"/>
    <w:rsid w:val="00086A3B"/>
    <w:rsid w:val="00091CE6"/>
    <w:rsid w:val="000A07AD"/>
    <w:rsid w:val="000B61C7"/>
    <w:rsid w:val="000B7810"/>
    <w:rsid w:val="000E742A"/>
    <w:rsid w:val="000F08DC"/>
    <w:rsid w:val="001023AE"/>
    <w:rsid w:val="0010392B"/>
    <w:rsid w:val="00127BAB"/>
    <w:rsid w:val="00144572"/>
    <w:rsid w:val="00154BA3"/>
    <w:rsid w:val="001564AC"/>
    <w:rsid w:val="00174F67"/>
    <w:rsid w:val="0018339F"/>
    <w:rsid w:val="001973A2"/>
    <w:rsid w:val="00197EE1"/>
    <w:rsid w:val="001A4B1E"/>
    <w:rsid w:val="001C5884"/>
    <w:rsid w:val="001C75F2"/>
    <w:rsid w:val="001D2063"/>
    <w:rsid w:val="001E6C8E"/>
    <w:rsid w:val="002277EF"/>
    <w:rsid w:val="00231039"/>
    <w:rsid w:val="002311F8"/>
    <w:rsid w:val="00236C55"/>
    <w:rsid w:val="0023777D"/>
    <w:rsid w:val="00257C2C"/>
    <w:rsid w:val="00284FB5"/>
    <w:rsid w:val="002A7480"/>
    <w:rsid w:val="002B613B"/>
    <w:rsid w:val="002C1A40"/>
    <w:rsid w:val="002C4ED6"/>
    <w:rsid w:val="002D3837"/>
    <w:rsid w:val="003077E1"/>
    <w:rsid w:val="00312888"/>
    <w:rsid w:val="00322739"/>
    <w:rsid w:val="00344259"/>
    <w:rsid w:val="00345BAF"/>
    <w:rsid w:val="00350FF2"/>
    <w:rsid w:val="00354B23"/>
    <w:rsid w:val="00360A4F"/>
    <w:rsid w:val="00365F69"/>
    <w:rsid w:val="00367B6D"/>
    <w:rsid w:val="00367CD8"/>
    <w:rsid w:val="00391954"/>
    <w:rsid w:val="003A73CE"/>
    <w:rsid w:val="003D3D47"/>
    <w:rsid w:val="003E12F2"/>
    <w:rsid w:val="003E34E2"/>
    <w:rsid w:val="003E3B8B"/>
    <w:rsid w:val="003F1D43"/>
    <w:rsid w:val="003F3441"/>
    <w:rsid w:val="00435A87"/>
    <w:rsid w:val="00441283"/>
    <w:rsid w:val="00441AA3"/>
    <w:rsid w:val="0045352B"/>
    <w:rsid w:val="004536A9"/>
    <w:rsid w:val="004548B0"/>
    <w:rsid w:val="004775D9"/>
    <w:rsid w:val="00483D50"/>
    <w:rsid w:val="00491F08"/>
    <w:rsid w:val="004A58C8"/>
    <w:rsid w:val="004B12BA"/>
    <w:rsid w:val="004B2D80"/>
    <w:rsid w:val="004C6856"/>
    <w:rsid w:val="004D6B84"/>
    <w:rsid w:val="005014A2"/>
    <w:rsid w:val="00502662"/>
    <w:rsid w:val="0050346B"/>
    <w:rsid w:val="00504503"/>
    <w:rsid w:val="005230C6"/>
    <w:rsid w:val="00532EAC"/>
    <w:rsid w:val="00540C16"/>
    <w:rsid w:val="00564EDB"/>
    <w:rsid w:val="00582789"/>
    <w:rsid w:val="005C6AB9"/>
    <w:rsid w:val="005D3E43"/>
    <w:rsid w:val="005E1247"/>
    <w:rsid w:val="005E231E"/>
    <w:rsid w:val="005E3F0B"/>
    <w:rsid w:val="005F1221"/>
    <w:rsid w:val="005F6FAA"/>
    <w:rsid w:val="0060338A"/>
    <w:rsid w:val="00620E89"/>
    <w:rsid w:val="00623CB3"/>
    <w:rsid w:val="006344E9"/>
    <w:rsid w:val="00647A71"/>
    <w:rsid w:val="006535B5"/>
    <w:rsid w:val="00657009"/>
    <w:rsid w:val="00661ACA"/>
    <w:rsid w:val="006627F0"/>
    <w:rsid w:val="00664BD0"/>
    <w:rsid w:val="00666B16"/>
    <w:rsid w:val="00667B5E"/>
    <w:rsid w:val="00671A72"/>
    <w:rsid w:val="00681C79"/>
    <w:rsid w:val="006A5E04"/>
    <w:rsid w:val="006B7891"/>
    <w:rsid w:val="007119B2"/>
    <w:rsid w:val="00721C47"/>
    <w:rsid w:val="00736D5E"/>
    <w:rsid w:val="00742575"/>
    <w:rsid w:val="00751069"/>
    <w:rsid w:val="007610BC"/>
    <w:rsid w:val="007714AB"/>
    <w:rsid w:val="00776B6A"/>
    <w:rsid w:val="00781B59"/>
    <w:rsid w:val="007A056B"/>
    <w:rsid w:val="007A14F0"/>
    <w:rsid w:val="007B6FCF"/>
    <w:rsid w:val="007D1E76"/>
    <w:rsid w:val="007D64C4"/>
    <w:rsid w:val="007E089D"/>
    <w:rsid w:val="007F0FAC"/>
    <w:rsid w:val="007F2FA6"/>
    <w:rsid w:val="007F5911"/>
    <w:rsid w:val="008275F7"/>
    <w:rsid w:val="00835EC9"/>
    <w:rsid w:val="008436BB"/>
    <w:rsid w:val="008628C4"/>
    <w:rsid w:val="0086459F"/>
    <w:rsid w:val="0087256B"/>
    <w:rsid w:val="008726B5"/>
    <w:rsid w:val="0087407E"/>
    <w:rsid w:val="008765F3"/>
    <w:rsid w:val="00876A36"/>
    <w:rsid w:val="00880CA7"/>
    <w:rsid w:val="00883BB8"/>
    <w:rsid w:val="008A1D7C"/>
    <w:rsid w:val="008C0610"/>
    <w:rsid w:val="008C0777"/>
    <w:rsid w:val="008E076C"/>
    <w:rsid w:val="009079F6"/>
    <w:rsid w:val="00920C16"/>
    <w:rsid w:val="00951549"/>
    <w:rsid w:val="009621C9"/>
    <w:rsid w:val="009A0900"/>
    <w:rsid w:val="009B2716"/>
    <w:rsid w:val="009B2C3D"/>
    <w:rsid w:val="009D3EAB"/>
    <w:rsid w:val="00A036C5"/>
    <w:rsid w:val="00A10114"/>
    <w:rsid w:val="00A11DB9"/>
    <w:rsid w:val="00A26544"/>
    <w:rsid w:val="00A36854"/>
    <w:rsid w:val="00A6458C"/>
    <w:rsid w:val="00AA41E5"/>
    <w:rsid w:val="00AA5D80"/>
    <w:rsid w:val="00AC5EA9"/>
    <w:rsid w:val="00AD52FA"/>
    <w:rsid w:val="00AD6A0D"/>
    <w:rsid w:val="00AE1A12"/>
    <w:rsid w:val="00AE1F6A"/>
    <w:rsid w:val="00AF6D75"/>
    <w:rsid w:val="00B07676"/>
    <w:rsid w:val="00B246D5"/>
    <w:rsid w:val="00B321A5"/>
    <w:rsid w:val="00B32F9A"/>
    <w:rsid w:val="00B46169"/>
    <w:rsid w:val="00B5222B"/>
    <w:rsid w:val="00B55BE0"/>
    <w:rsid w:val="00B60E68"/>
    <w:rsid w:val="00B732DA"/>
    <w:rsid w:val="00B76227"/>
    <w:rsid w:val="00B77784"/>
    <w:rsid w:val="00B85C99"/>
    <w:rsid w:val="00B93311"/>
    <w:rsid w:val="00B96EF5"/>
    <w:rsid w:val="00BA1C62"/>
    <w:rsid w:val="00BA3018"/>
    <w:rsid w:val="00BB5B7E"/>
    <w:rsid w:val="00BD628E"/>
    <w:rsid w:val="00BE1D06"/>
    <w:rsid w:val="00BF2F24"/>
    <w:rsid w:val="00C53996"/>
    <w:rsid w:val="00C660FF"/>
    <w:rsid w:val="00C74F8B"/>
    <w:rsid w:val="00C75A42"/>
    <w:rsid w:val="00C803F0"/>
    <w:rsid w:val="00C8671C"/>
    <w:rsid w:val="00CA4CA8"/>
    <w:rsid w:val="00CB47FE"/>
    <w:rsid w:val="00D01452"/>
    <w:rsid w:val="00D13C44"/>
    <w:rsid w:val="00D268C2"/>
    <w:rsid w:val="00D32C6A"/>
    <w:rsid w:val="00D32EF7"/>
    <w:rsid w:val="00D4630A"/>
    <w:rsid w:val="00D501AD"/>
    <w:rsid w:val="00D53929"/>
    <w:rsid w:val="00D56B7E"/>
    <w:rsid w:val="00D72568"/>
    <w:rsid w:val="00D75EFB"/>
    <w:rsid w:val="00D92383"/>
    <w:rsid w:val="00D975B1"/>
    <w:rsid w:val="00D97E86"/>
    <w:rsid w:val="00DB309E"/>
    <w:rsid w:val="00DF626E"/>
    <w:rsid w:val="00DF705F"/>
    <w:rsid w:val="00E00323"/>
    <w:rsid w:val="00E10C57"/>
    <w:rsid w:val="00E123C5"/>
    <w:rsid w:val="00E13756"/>
    <w:rsid w:val="00E312C7"/>
    <w:rsid w:val="00E42A30"/>
    <w:rsid w:val="00E43CEE"/>
    <w:rsid w:val="00E6421F"/>
    <w:rsid w:val="00E64D40"/>
    <w:rsid w:val="00E6525C"/>
    <w:rsid w:val="00E6571C"/>
    <w:rsid w:val="00E74967"/>
    <w:rsid w:val="00EA37F5"/>
    <w:rsid w:val="00EA7915"/>
    <w:rsid w:val="00EB30FA"/>
    <w:rsid w:val="00EB6B7A"/>
    <w:rsid w:val="00ED5C81"/>
    <w:rsid w:val="00ED7CF6"/>
    <w:rsid w:val="00EE71A4"/>
    <w:rsid w:val="00F05A0F"/>
    <w:rsid w:val="00F4262E"/>
    <w:rsid w:val="00F511F8"/>
    <w:rsid w:val="00F51FB2"/>
    <w:rsid w:val="00F5459C"/>
    <w:rsid w:val="00F54718"/>
    <w:rsid w:val="00F61492"/>
    <w:rsid w:val="00F62D2A"/>
    <w:rsid w:val="00F72888"/>
    <w:rsid w:val="00F93018"/>
    <w:rsid w:val="00F9410A"/>
    <w:rsid w:val="00FC7DDF"/>
    <w:rsid w:val="00FE1DEC"/>
    <w:rsid w:val="00FE64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A8417883-20D2-4C39-8CB0-29B5E9FD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233">
      <w:bodyDiv w:val="1"/>
      <w:marLeft w:val="0"/>
      <w:marRight w:val="0"/>
      <w:marTop w:val="0"/>
      <w:marBottom w:val="0"/>
      <w:divBdr>
        <w:top w:val="none" w:sz="0" w:space="0" w:color="auto"/>
        <w:left w:val="none" w:sz="0" w:space="0" w:color="auto"/>
        <w:bottom w:val="none" w:sz="0" w:space="0" w:color="auto"/>
        <w:right w:val="none" w:sz="0" w:space="0" w:color="auto"/>
      </w:divBdr>
    </w:div>
    <w:div w:id="259148946">
      <w:bodyDiv w:val="1"/>
      <w:marLeft w:val="0"/>
      <w:marRight w:val="0"/>
      <w:marTop w:val="0"/>
      <w:marBottom w:val="0"/>
      <w:divBdr>
        <w:top w:val="none" w:sz="0" w:space="0" w:color="auto"/>
        <w:left w:val="none" w:sz="0" w:space="0" w:color="auto"/>
        <w:bottom w:val="none" w:sz="0" w:space="0" w:color="auto"/>
        <w:right w:val="none" w:sz="0" w:space="0" w:color="auto"/>
      </w:divBdr>
    </w:div>
    <w:div w:id="380859770">
      <w:bodyDiv w:val="1"/>
      <w:marLeft w:val="0"/>
      <w:marRight w:val="0"/>
      <w:marTop w:val="0"/>
      <w:marBottom w:val="0"/>
      <w:divBdr>
        <w:top w:val="none" w:sz="0" w:space="0" w:color="auto"/>
        <w:left w:val="none" w:sz="0" w:space="0" w:color="auto"/>
        <w:bottom w:val="none" w:sz="0" w:space="0" w:color="auto"/>
        <w:right w:val="none" w:sz="0" w:space="0" w:color="auto"/>
      </w:divBdr>
    </w:div>
    <w:div w:id="712734820">
      <w:bodyDiv w:val="1"/>
      <w:marLeft w:val="0"/>
      <w:marRight w:val="0"/>
      <w:marTop w:val="0"/>
      <w:marBottom w:val="0"/>
      <w:divBdr>
        <w:top w:val="none" w:sz="0" w:space="0" w:color="auto"/>
        <w:left w:val="none" w:sz="0" w:space="0" w:color="auto"/>
        <w:bottom w:val="none" w:sz="0" w:space="0" w:color="auto"/>
        <w:right w:val="none" w:sz="0" w:space="0" w:color="auto"/>
      </w:divBdr>
    </w:div>
    <w:div w:id="998272118">
      <w:bodyDiv w:val="1"/>
      <w:marLeft w:val="0"/>
      <w:marRight w:val="0"/>
      <w:marTop w:val="0"/>
      <w:marBottom w:val="0"/>
      <w:divBdr>
        <w:top w:val="none" w:sz="0" w:space="0" w:color="auto"/>
        <w:left w:val="none" w:sz="0" w:space="0" w:color="auto"/>
        <w:bottom w:val="none" w:sz="0" w:space="0" w:color="auto"/>
        <w:right w:val="none" w:sz="0" w:space="0" w:color="auto"/>
      </w:divBdr>
    </w:div>
    <w:div w:id="1365868509">
      <w:bodyDiv w:val="1"/>
      <w:marLeft w:val="0"/>
      <w:marRight w:val="0"/>
      <w:marTop w:val="0"/>
      <w:marBottom w:val="0"/>
      <w:divBdr>
        <w:top w:val="none" w:sz="0" w:space="0" w:color="auto"/>
        <w:left w:val="none" w:sz="0" w:space="0" w:color="auto"/>
        <w:bottom w:val="none" w:sz="0" w:space="0" w:color="auto"/>
        <w:right w:val="none" w:sz="0" w:space="0" w:color="auto"/>
      </w:divBdr>
    </w:div>
    <w:div w:id="1800368748">
      <w:bodyDiv w:val="1"/>
      <w:marLeft w:val="0"/>
      <w:marRight w:val="0"/>
      <w:marTop w:val="0"/>
      <w:marBottom w:val="0"/>
      <w:divBdr>
        <w:top w:val="none" w:sz="0" w:space="0" w:color="auto"/>
        <w:left w:val="none" w:sz="0" w:space="0" w:color="auto"/>
        <w:bottom w:val="none" w:sz="0" w:space="0" w:color="auto"/>
        <w:right w:val="none" w:sz="0" w:space="0" w:color="auto"/>
      </w:divBdr>
    </w:div>
    <w:div w:id="1844516007">
      <w:bodyDiv w:val="1"/>
      <w:marLeft w:val="0"/>
      <w:marRight w:val="0"/>
      <w:marTop w:val="0"/>
      <w:marBottom w:val="0"/>
      <w:divBdr>
        <w:top w:val="none" w:sz="0" w:space="0" w:color="auto"/>
        <w:left w:val="none" w:sz="0" w:space="0" w:color="auto"/>
        <w:bottom w:val="none" w:sz="0" w:space="0" w:color="auto"/>
        <w:right w:val="none" w:sz="0" w:space="0" w:color="auto"/>
      </w:divBdr>
    </w:div>
    <w:div w:id="1866746112">
      <w:bodyDiv w:val="1"/>
      <w:marLeft w:val="0"/>
      <w:marRight w:val="0"/>
      <w:marTop w:val="0"/>
      <w:marBottom w:val="0"/>
      <w:divBdr>
        <w:top w:val="none" w:sz="0" w:space="0" w:color="auto"/>
        <w:left w:val="none" w:sz="0" w:space="0" w:color="auto"/>
        <w:bottom w:val="none" w:sz="0" w:space="0" w:color="auto"/>
        <w:right w:val="none" w:sz="0" w:space="0" w:color="auto"/>
      </w:divBdr>
    </w:div>
    <w:div w:id="18871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1CA1-AA2C-45D4-9C50-2E27394CFE9C}">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2872</Words>
  <Characters>15796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18631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Ana Gabriela Ceballos Acosta</cp:lastModifiedBy>
  <cp:revision>58</cp:revision>
  <cp:lastPrinted>2025-04-10T22:32:00Z</cp:lastPrinted>
  <dcterms:created xsi:type="dcterms:W3CDTF">2023-01-12T22:11:00Z</dcterms:created>
  <dcterms:modified xsi:type="dcterms:W3CDTF">2025-10-10T19:03:00Z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