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E0D8" w14:textId="77777777" w:rsidR="007119B2" w:rsidRDefault="007119B2" w:rsidP="00D92383">
      <w:pPr>
        <w:spacing w:after="0" w:line="240" w:lineRule="auto"/>
        <w:ind w:firstLine="284"/>
        <w:jc w:val="center"/>
        <w:rPr>
          <w:rFonts w:ascii="Arial" w:hAnsi="Arial" w:cs="Arial"/>
          <w:sz w:val="24"/>
          <w:szCs w:val="24"/>
        </w:rPr>
      </w:pPr>
    </w:p>
    <w:p w14:paraId="0D169E17" w14:textId="5CBEED2E" w:rsidR="008765F3" w:rsidRPr="008765F3" w:rsidRDefault="008765F3" w:rsidP="00D92383">
      <w:pPr>
        <w:spacing w:after="0" w:line="240" w:lineRule="auto"/>
        <w:ind w:firstLine="284"/>
        <w:jc w:val="center"/>
        <w:rPr>
          <w:rFonts w:ascii="Arial" w:hAnsi="Arial" w:cs="Arial"/>
          <w:sz w:val="24"/>
          <w:szCs w:val="24"/>
        </w:rPr>
      </w:pPr>
      <w:r w:rsidRPr="008765F3">
        <w:rPr>
          <w:rFonts w:ascii="Arial" w:hAnsi="Arial" w:cs="Arial"/>
          <w:sz w:val="24"/>
          <w:szCs w:val="24"/>
        </w:rPr>
        <w:t>Tribunal de Justicia Administrativa del Estado de Guanajuato</w:t>
      </w:r>
    </w:p>
    <w:p w14:paraId="60C2F038" w14:textId="77777777" w:rsidR="008765F3" w:rsidRPr="008765F3" w:rsidRDefault="008765F3" w:rsidP="008765F3">
      <w:pPr>
        <w:spacing w:after="0" w:line="240" w:lineRule="auto"/>
        <w:ind w:firstLine="284"/>
        <w:jc w:val="center"/>
        <w:rPr>
          <w:rFonts w:ascii="Arial" w:hAnsi="Arial" w:cs="Arial"/>
          <w:sz w:val="24"/>
          <w:szCs w:val="24"/>
        </w:rPr>
      </w:pPr>
      <w:r w:rsidRPr="008765F3">
        <w:rPr>
          <w:rFonts w:ascii="Arial" w:hAnsi="Arial" w:cs="Arial"/>
          <w:sz w:val="24"/>
          <w:szCs w:val="24"/>
        </w:rPr>
        <w:t>Notas de Gestión Administrativa</w:t>
      </w:r>
    </w:p>
    <w:p w14:paraId="507776DB" w14:textId="33C91273" w:rsidR="007D1E76" w:rsidRPr="008765F3" w:rsidRDefault="008765F3" w:rsidP="008765F3">
      <w:pPr>
        <w:spacing w:after="0" w:line="240" w:lineRule="auto"/>
        <w:ind w:firstLine="284"/>
        <w:jc w:val="center"/>
        <w:rPr>
          <w:rFonts w:ascii="Arial" w:hAnsi="Arial" w:cs="Arial"/>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65F3">
        <w:rPr>
          <w:rFonts w:ascii="Arial" w:hAnsi="Arial" w:cs="Arial"/>
          <w:sz w:val="24"/>
          <w:szCs w:val="24"/>
        </w:rPr>
        <w:t xml:space="preserve">Correspondiente del 01 de </w:t>
      </w:r>
      <w:proofErr w:type="gramStart"/>
      <w:r w:rsidRPr="008765F3">
        <w:rPr>
          <w:rFonts w:ascii="Arial" w:hAnsi="Arial" w:cs="Arial"/>
          <w:sz w:val="24"/>
          <w:szCs w:val="24"/>
        </w:rPr>
        <w:t>Enero</w:t>
      </w:r>
      <w:proofErr w:type="gramEnd"/>
      <w:r w:rsidRPr="008765F3">
        <w:rPr>
          <w:rFonts w:ascii="Arial" w:hAnsi="Arial" w:cs="Arial"/>
          <w:sz w:val="24"/>
          <w:szCs w:val="24"/>
        </w:rPr>
        <w:t xml:space="preserve"> al 3</w:t>
      </w:r>
      <w:r w:rsidR="008C0777">
        <w:rPr>
          <w:rFonts w:ascii="Arial" w:hAnsi="Arial" w:cs="Arial"/>
          <w:sz w:val="24"/>
          <w:szCs w:val="24"/>
        </w:rPr>
        <w:t>1</w:t>
      </w:r>
      <w:r w:rsidRPr="008765F3">
        <w:rPr>
          <w:rFonts w:ascii="Arial" w:hAnsi="Arial" w:cs="Arial"/>
          <w:sz w:val="24"/>
          <w:szCs w:val="24"/>
        </w:rPr>
        <w:t xml:space="preserve"> de </w:t>
      </w:r>
      <w:r w:rsidR="008C0777">
        <w:rPr>
          <w:rFonts w:ascii="Arial" w:hAnsi="Arial" w:cs="Arial"/>
          <w:sz w:val="24"/>
          <w:szCs w:val="24"/>
        </w:rPr>
        <w:t>Dic</w:t>
      </w:r>
      <w:r w:rsidRPr="008765F3">
        <w:rPr>
          <w:rFonts w:ascii="Arial" w:hAnsi="Arial" w:cs="Arial"/>
          <w:sz w:val="24"/>
          <w:szCs w:val="24"/>
        </w:rPr>
        <w:t>iembre de 2023.</w:t>
      </w:r>
      <w:r w:rsidRPr="008765F3">
        <w:rPr>
          <w:rFonts w:ascii="Arial" w:hAnsi="Arial" w:cs="Arial"/>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49C50F62"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 xml:space="preserve">Los Estados Financieros de los entes públicos, proveen de información financiera a los principales usuarios de </w:t>
      </w:r>
      <w:proofErr w:type="gramStart"/>
      <w:r w:rsidRPr="00D501AD">
        <w:rPr>
          <w:rFonts w:ascii="Arial" w:hAnsi="Arial" w:cs="Arial"/>
          <w:sz w:val="20"/>
          <w:szCs w:val="20"/>
        </w:rPr>
        <w:t>la</w:t>
      </w:r>
      <w:r w:rsidR="00B732DA">
        <w:rPr>
          <w:rFonts w:ascii="Arial" w:hAnsi="Arial" w:cs="Arial"/>
          <w:sz w:val="20"/>
          <w:szCs w:val="20"/>
        </w:rPr>
        <w:t xml:space="preserve"> </w:t>
      </w:r>
      <w:r w:rsidRPr="00D501AD">
        <w:rPr>
          <w:rFonts w:ascii="Arial" w:hAnsi="Arial" w:cs="Arial"/>
          <w:sz w:val="20"/>
          <w:szCs w:val="20"/>
        </w:rPr>
        <w:t>misma</w:t>
      </w:r>
      <w:proofErr w:type="gramEnd"/>
      <w:r w:rsidRPr="00D501AD">
        <w:rPr>
          <w:rFonts w:ascii="Arial" w:hAnsi="Arial" w:cs="Arial"/>
          <w:sz w:val="20"/>
          <w:szCs w:val="20"/>
        </w:rPr>
        <w:t>,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6AB8D95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w:t>
      </w:r>
      <w:r w:rsidR="00344259">
        <w:rPr>
          <w:rFonts w:ascii="Arial" w:hAnsi="Arial" w:cs="Arial"/>
          <w:sz w:val="20"/>
          <w:szCs w:val="20"/>
        </w:rPr>
        <w:t xml:space="preserve"> -</w:t>
      </w:r>
      <w:r w:rsidRPr="00D501AD">
        <w:rPr>
          <w:rFonts w:ascii="Arial" w:hAnsi="Arial" w:cs="Arial"/>
          <w:sz w:val="20"/>
          <w:szCs w:val="20"/>
        </w:rPr>
        <w:t xml:space="preserve"> financieros más relevantes que influyeron en las decisiones del período, y que deberán ser considerados en la elaboración de los estados financieros para la mayor comprensión de </w:t>
      </w:r>
      <w:proofErr w:type="gramStart"/>
      <w:r w:rsidRPr="00D501AD">
        <w:rPr>
          <w:rFonts w:ascii="Arial" w:hAnsi="Arial" w:cs="Arial"/>
          <w:sz w:val="20"/>
          <w:szCs w:val="20"/>
        </w:rPr>
        <w:t>los m</w:t>
      </w:r>
      <w:r w:rsidR="00E00323" w:rsidRPr="00D501AD">
        <w:rPr>
          <w:rFonts w:ascii="Arial" w:hAnsi="Arial" w:cs="Arial"/>
          <w:sz w:val="20"/>
          <w:szCs w:val="20"/>
        </w:rPr>
        <w:t>ismos</w:t>
      </w:r>
      <w:proofErr w:type="gramEnd"/>
      <w:r w:rsidR="00E00323" w:rsidRPr="00D501AD">
        <w:rPr>
          <w:rFonts w:ascii="Arial" w:hAnsi="Arial" w:cs="Arial"/>
          <w:sz w:val="20"/>
          <w:szCs w:val="20"/>
        </w:rPr>
        <w:t xml:space="preserve">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184271B6" w14:textId="77777777" w:rsidR="00344259" w:rsidRDefault="00344259" w:rsidP="00D92383">
      <w:pPr>
        <w:spacing w:after="0" w:line="240" w:lineRule="auto"/>
        <w:ind w:firstLine="708"/>
        <w:jc w:val="both"/>
        <w:rPr>
          <w:rFonts w:ascii="Arial" w:hAnsi="Arial" w:cs="Arial"/>
          <w:sz w:val="20"/>
          <w:szCs w:val="20"/>
        </w:rPr>
      </w:pPr>
    </w:p>
    <w:p w14:paraId="11BE3D9A" w14:textId="77777777" w:rsidR="00344259" w:rsidRPr="00D501AD" w:rsidRDefault="00344259" w:rsidP="00344259">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4A4DFB5C" w14:textId="77777777" w:rsidR="00344259" w:rsidRPr="00D501AD" w:rsidRDefault="00344259" w:rsidP="00344259">
      <w:pPr>
        <w:ind w:firstLine="708"/>
        <w:jc w:val="both"/>
        <w:rPr>
          <w:rFonts w:ascii="Arial" w:hAnsi="Arial" w:cs="Arial"/>
          <w:sz w:val="20"/>
          <w:szCs w:val="20"/>
        </w:rPr>
      </w:pPr>
      <w:r w:rsidRPr="00D501AD">
        <w:rPr>
          <w:rFonts w:ascii="Arial" w:hAnsi="Arial" w:cs="Arial"/>
          <w:sz w:val="20"/>
          <w:szCs w:val="20"/>
        </w:rPr>
        <w:t xml:space="preserve">Formará parte del Sistema Estatal Anticorrupción, su actuación estará sujeta a las bases establecidas en la Constitución Política para el Estado de Guanajuato, así como en la Ley del Sistema Estatal Anticorrupción de Guanajuato.  </w:t>
      </w:r>
    </w:p>
    <w:p w14:paraId="552BF0B5" w14:textId="77777777" w:rsidR="00344259" w:rsidRPr="00D501AD" w:rsidRDefault="00344259" w:rsidP="00D92383">
      <w:pPr>
        <w:spacing w:after="0" w:line="240" w:lineRule="auto"/>
        <w:ind w:firstLine="708"/>
        <w:jc w:val="both"/>
        <w:rPr>
          <w:rFonts w:ascii="Arial" w:hAnsi="Arial" w:cs="Arial"/>
          <w:sz w:val="20"/>
          <w:szCs w:val="20"/>
        </w:rPr>
      </w:pPr>
    </w:p>
    <w:p w14:paraId="1A1295A4" w14:textId="44E4E352"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 </w:t>
      </w:r>
      <w:r w:rsidR="00344259">
        <w:rPr>
          <w:rFonts w:ascii="Arial" w:hAnsi="Arial" w:cs="Arial"/>
          <w:b/>
          <w:sz w:val="20"/>
          <w:szCs w:val="20"/>
        </w:rPr>
        <w:t>Autorización e Historia</w:t>
      </w:r>
      <w:r w:rsidRPr="00D501AD">
        <w:rPr>
          <w:rFonts w:ascii="Arial" w:hAnsi="Arial" w:cs="Arial"/>
          <w:b/>
          <w:sz w:val="20"/>
          <w:szCs w:val="20"/>
        </w:rPr>
        <w:t>:</w:t>
      </w:r>
    </w:p>
    <w:p w14:paraId="78CDC49F" w14:textId="77777777" w:rsidR="00344259" w:rsidRPr="00D501AD" w:rsidRDefault="00344259" w:rsidP="00344259">
      <w:pPr>
        <w:spacing w:after="0" w:line="240" w:lineRule="auto"/>
        <w:jc w:val="both"/>
        <w:rPr>
          <w:rFonts w:ascii="Arial" w:hAnsi="Arial" w:cs="Arial"/>
          <w:sz w:val="20"/>
          <w:szCs w:val="20"/>
        </w:rPr>
      </w:pPr>
    </w:p>
    <w:p w14:paraId="08FCF742" w14:textId="77777777" w:rsidR="00344259" w:rsidRPr="00D501AD" w:rsidRDefault="00344259" w:rsidP="00344259">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6BA65D3D" w14:textId="48110B50" w:rsidR="00344259" w:rsidRPr="00D501AD" w:rsidRDefault="00344259" w:rsidP="00344259">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inició sus labores 11 de </w:t>
      </w:r>
      <w:proofErr w:type="gramStart"/>
      <w:r w:rsidRPr="00D501AD">
        <w:rPr>
          <w:rFonts w:ascii="Arial" w:hAnsi="Arial" w:cs="Arial"/>
          <w:sz w:val="20"/>
          <w:szCs w:val="20"/>
        </w:rPr>
        <w:t>Septiembre</w:t>
      </w:r>
      <w:proofErr w:type="gramEnd"/>
      <w:r w:rsidRPr="00D501AD">
        <w:rPr>
          <w:rFonts w:ascii="Arial" w:hAnsi="Arial" w:cs="Arial"/>
          <w:sz w:val="20"/>
          <w:szCs w:val="20"/>
        </w:rPr>
        <w:t xml:space="preserve"> de 1987</w:t>
      </w:r>
    </w:p>
    <w:p w14:paraId="6853EB30" w14:textId="77777777" w:rsidR="00344259" w:rsidRPr="00D501AD" w:rsidRDefault="00344259" w:rsidP="00344259">
      <w:pPr>
        <w:spacing w:after="0" w:line="240" w:lineRule="auto"/>
        <w:jc w:val="both"/>
        <w:rPr>
          <w:rFonts w:ascii="Arial" w:hAnsi="Arial" w:cs="Arial"/>
          <w:sz w:val="20"/>
          <w:szCs w:val="20"/>
        </w:rPr>
      </w:pPr>
    </w:p>
    <w:p w14:paraId="76727E5B" w14:textId="77777777" w:rsidR="00344259" w:rsidRDefault="00344259" w:rsidP="00344259">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216654CF" w14:textId="4AC95998" w:rsidR="00344259" w:rsidRPr="00D501AD" w:rsidRDefault="00344259" w:rsidP="00344259">
      <w:pPr>
        <w:spacing w:after="0" w:line="240" w:lineRule="auto"/>
        <w:ind w:firstLine="708"/>
        <w:jc w:val="both"/>
        <w:rPr>
          <w:rFonts w:ascii="Arial" w:hAnsi="Arial" w:cs="Arial"/>
          <w:b/>
          <w:sz w:val="20"/>
          <w:szCs w:val="20"/>
        </w:rPr>
      </w:pPr>
      <w:r w:rsidRPr="00D501AD">
        <w:rPr>
          <w:rFonts w:ascii="Arial" w:hAnsi="Arial" w:cs="Arial"/>
          <w:sz w:val="20"/>
          <w:szCs w:val="20"/>
        </w:rPr>
        <w:t>Por reforma publicada en el órgano oficial de Gobierno del Estado de Guanajuato de fecha 8 de agosto de 2008, se precisa que el Tribunal de Justicia Administrativa del Estado de Guanajuato es un órgano de control de legalidad.</w:t>
      </w:r>
    </w:p>
    <w:p w14:paraId="6DD04477" w14:textId="77777777" w:rsidR="00344259" w:rsidRPr="00D501AD" w:rsidRDefault="00344259" w:rsidP="00344259">
      <w:pPr>
        <w:spacing w:after="0" w:line="240" w:lineRule="auto"/>
        <w:jc w:val="both"/>
        <w:rPr>
          <w:rFonts w:ascii="Arial" w:hAnsi="Arial" w:cs="Arial"/>
          <w:sz w:val="20"/>
          <w:szCs w:val="20"/>
        </w:rPr>
      </w:pPr>
    </w:p>
    <w:p w14:paraId="69DF7D11" w14:textId="4CC42E91" w:rsidR="00344259" w:rsidRPr="00D501AD" w:rsidRDefault="00344259" w:rsidP="00344259">
      <w:pPr>
        <w:spacing w:after="0" w:line="240" w:lineRule="auto"/>
        <w:ind w:firstLine="708"/>
        <w:jc w:val="both"/>
        <w:rPr>
          <w:rFonts w:ascii="Arial" w:hAnsi="Arial" w:cs="Arial"/>
          <w:sz w:val="20"/>
          <w:szCs w:val="20"/>
        </w:rPr>
      </w:pPr>
      <w:r w:rsidRPr="00D501AD">
        <w:rPr>
          <w:rFonts w:ascii="Arial" w:hAnsi="Arial" w:cs="Arial"/>
          <w:sz w:val="20"/>
          <w:szCs w:val="20"/>
        </w:rPr>
        <w:t xml:space="preserve">El 21 de </w:t>
      </w:r>
      <w:proofErr w:type="gramStart"/>
      <w:r w:rsidRPr="00D501AD">
        <w:rPr>
          <w:rFonts w:ascii="Arial" w:hAnsi="Arial" w:cs="Arial"/>
          <w:sz w:val="20"/>
          <w:szCs w:val="20"/>
        </w:rPr>
        <w:t>Junio</w:t>
      </w:r>
      <w:proofErr w:type="gramEnd"/>
      <w:r w:rsidRPr="00D501AD">
        <w:rPr>
          <w:rFonts w:ascii="Arial" w:hAnsi="Arial" w:cs="Arial"/>
          <w:sz w:val="20"/>
          <w:szCs w:val="20"/>
        </w:rPr>
        <w:t xml:space="preserve"> del año 2017,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A8F5AF2" w14:textId="77777777" w:rsidR="00D501AD" w:rsidRPr="00D501AD" w:rsidRDefault="00D501AD" w:rsidP="007D1E76">
      <w:pPr>
        <w:spacing w:after="0" w:line="240" w:lineRule="auto"/>
        <w:jc w:val="both"/>
        <w:rPr>
          <w:rFonts w:ascii="Arial" w:hAnsi="Arial" w:cs="Arial"/>
          <w:sz w:val="20"/>
          <w:szCs w:val="20"/>
        </w:rPr>
      </w:pP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75DFAAE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2. </w:t>
      </w:r>
      <w:r w:rsidR="00344259">
        <w:rPr>
          <w:rFonts w:ascii="Arial" w:hAnsi="Arial" w:cs="Arial"/>
          <w:b/>
          <w:sz w:val="20"/>
          <w:szCs w:val="20"/>
        </w:rPr>
        <w:t>P</w:t>
      </w:r>
      <w:r w:rsidRPr="00D501AD">
        <w:rPr>
          <w:rFonts w:ascii="Arial" w:hAnsi="Arial" w:cs="Arial"/>
          <w:b/>
          <w:sz w:val="20"/>
          <w:szCs w:val="20"/>
        </w:rPr>
        <w:t>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13F52E92" w14:textId="77777777" w:rsidR="001A4B1E" w:rsidRDefault="001A4B1E" w:rsidP="007D1E76">
      <w:pPr>
        <w:spacing w:after="0" w:line="240" w:lineRule="auto"/>
        <w:jc w:val="both"/>
        <w:rPr>
          <w:rFonts w:ascii="Arial" w:hAnsi="Arial" w:cs="Arial"/>
          <w:b/>
          <w:sz w:val="20"/>
          <w:szCs w:val="20"/>
        </w:rPr>
      </w:pPr>
    </w:p>
    <w:p w14:paraId="1AEE46CE" w14:textId="77777777" w:rsidR="001A4B1E" w:rsidRDefault="001A4B1E" w:rsidP="007D1E76">
      <w:pPr>
        <w:spacing w:after="0" w:line="240" w:lineRule="auto"/>
        <w:jc w:val="both"/>
        <w:rPr>
          <w:rFonts w:ascii="Arial" w:hAnsi="Arial" w:cs="Arial"/>
          <w:b/>
          <w:sz w:val="20"/>
          <w:szCs w:val="20"/>
        </w:rPr>
      </w:pPr>
    </w:p>
    <w:p w14:paraId="3E5840D3" w14:textId="77777777" w:rsidR="001A4B1E" w:rsidRDefault="001A4B1E" w:rsidP="007D1E76">
      <w:pPr>
        <w:spacing w:after="0" w:line="240" w:lineRule="auto"/>
        <w:jc w:val="both"/>
        <w:rPr>
          <w:rFonts w:ascii="Arial" w:hAnsi="Arial" w:cs="Arial"/>
          <w:b/>
          <w:sz w:val="20"/>
          <w:szCs w:val="20"/>
        </w:rPr>
      </w:pPr>
    </w:p>
    <w:p w14:paraId="6DC9F524" w14:textId="77777777" w:rsidR="001A4B1E" w:rsidRDefault="001A4B1E" w:rsidP="007D1E76">
      <w:pPr>
        <w:spacing w:after="0" w:line="240" w:lineRule="auto"/>
        <w:jc w:val="both"/>
        <w:rPr>
          <w:rFonts w:ascii="Arial" w:hAnsi="Arial" w:cs="Arial"/>
          <w:b/>
          <w:sz w:val="20"/>
          <w:szCs w:val="20"/>
        </w:rPr>
      </w:pPr>
    </w:p>
    <w:p w14:paraId="52342E06" w14:textId="77777777" w:rsidR="007119B2" w:rsidRDefault="007119B2" w:rsidP="007D1E76">
      <w:pPr>
        <w:spacing w:after="0" w:line="240" w:lineRule="auto"/>
        <w:jc w:val="both"/>
        <w:rPr>
          <w:rFonts w:ascii="Arial" w:hAnsi="Arial" w:cs="Arial"/>
          <w:b/>
          <w:sz w:val="20"/>
          <w:szCs w:val="20"/>
        </w:rPr>
      </w:pPr>
    </w:p>
    <w:p w14:paraId="08136E94" w14:textId="5ABBB2DF" w:rsidR="007D1E76" w:rsidRPr="00D501AD" w:rsidRDefault="00344259" w:rsidP="007D1E76">
      <w:pPr>
        <w:spacing w:after="0" w:line="240" w:lineRule="auto"/>
        <w:jc w:val="both"/>
        <w:rPr>
          <w:rFonts w:ascii="Arial" w:hAnsi="Arial" w:cs="Arial"/>
          <w:b/>
          <w:sz w:val="20"/>
          <w:szCs w:val="20"/>
        </w:rPr>
      </w:pPr>
      <w:r>
        <w:rPr>
          <w:rFonts w:ascii="Arial" w:hAnsi="Arial" w:cs="Arial"/>
          <w:b/>
          <w:sz w:val="20"/>
          <w:szCs w:val="20"/>
        </w:rPr>
        <w:t>3</w:t>
      </w:r>
      <w:r w:rsidR="007D1E76" w:rsidRPr="00D501AD">
        <w:rPr>
          <w:rFonts w:ascii="Arial" w:hAnsi="Arial" w:cs="Arial"/>
          <w:b/>
          <w:sz w:val="20"/>
          <w:szCs w:val="20"/>
        </w:rPr>
        <w:t xml:space="preserve">.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532A49EF"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proofErr w:type="gramStart"/>
      <w:r w:rsidR="008C0777">
        <w:rPr>
          <w:rFonts w:ascii="Arial" w:hAnsi="Arial" w:cs="Arial"/>
          <w:sz w:val="20"/>
          <w:szCs w:val="20"/>
        </w:rPr>
        <w:t>Dic</w:t>
      </w:r>
      <w:r w:rsidR="005E1247">
        <w:rPr>
          <w:rFonts w:ascii="Arial" w:hAnsi="Arial" w:cs="Arial"/>
          <w:sz w:val="20"/>
          <w:szCs w:val="20"/>
        </w:rPr>
        <w:t>iembre</w:t>
      </w:r>
      <w:proofErr w:type="gramEnd"/>
      <w:r w:rsidR="00D501AD">
        <w:rPr>
          <w:rFonts w:ascii="Arial" w:hAnsi="Arial" w:cs="Arial"/>
          <w:sz w:val="20"/>
          <w:szCs w:val="20"/>
        </w:rPr>
        <w:t xml:space="preserve"> 202</w:t>
      </w:r>
      <w:r w:rsidR="00661ACA">
        <w:rPr>
          <w:rFonts w:ascii="Arial" w:hAnsi="Arial" w:cs="Arial"/>
          <w:sz w:val="20"/>
          <w:szCs w:val="20"/>
        </w:rPr>
        <w:t>3</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0595F909" w14:textId="38C77A71" w:rsidR="00661ACA" w:rsidRDefault="00661ACA" w:rsidP="00661ACA">
      <w:pPr>
        <w:jc w:val="both"/>
        <w:rPr>
          <w:rFonts w:ascii="Arial" w:hAnsi="Arial" w:cs="Arial"/>
          <w:sz w:val="20"/>
          <w:szCs w:val="20"/>
        </w:rPr>
      </w:pPr>
      <w:r w:rsidRPr="00D501AD">
        <w:rPr>
          <w:rFonts w:ascii="Arial" w:hAnsi="Arial" w:cs="Arial"/>
          <w:sz w:val="20"/>
          <w:szCs w:val="20"/>
        </w:rPr>
        <w:t xml:space="preserve">RETENEDOR DE INGRESOS POR </w:t>
      </w:r>
      <w:r>
        <w:rPr>
          <w:rFonts w:ascii="Arial" w:hAnsi="Arial" w:cs="Arial"/>
          <w:sz w:val="20"/>
          <w:szCs w:val="20"/>
        </w:rPr>
        <w:t>ARRENDAMIENTO DE INMUEBLES</w:t>
      </w:r>
    </w:p>
    <w:p w14:paraId="16A30D18" w14:textId="288EAD40" w:rsidR="00661ACA" w:rsidRDefault="00661ACA" w:rsidP="00661ACA">
      <w:pPr>
        <w:jc w:val="both"/>
        <w:rPr>
          <w:rFonts w:ascii="Arial" w:hAnsi="Arial" w:cs="Arial"/>
          <w:sz w:val="20"/>
          <w:szCs w:val="20"/>
        </w:rPr>
      </w:pPr>
      <w:r w:rsidRPr="00D501AD">
        <w:rPr>
          <w:rFonts w:ascii="Arial" w:hAnsi="Arial" w:cs="Arial"/>
          <w:sz w:val="20"/>
          <w:szCs w:val="20"/>
        </w:rPr>
        <w:t xml:space="preserve">RETENEDOR </w:t>
      </w:r>
      <w:r>
        <w:rPr>
          <w:rFonts w:ascii="Arial" w:hAnsi="Arial" w:cs="Arial"/>
          <w:sz w:val="20"/>
          <w:szCs w:val="20"/>
        </w:rPr>
        <w:t>DE INGRESOS POR PAGOS AL EXTRANJERO</w:t>
      </w:r>
    </w:p>
    <w:p w14:paraId="66615B3E" w14:textId="40565CA0"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r w:rsidR="00661ACA">
        <w:rPr>
          <w:rFonts w:ascii="Arial" w:hAnsi="Arial" w:cs="Arial"/>
          <w:sz w:val="20"/>
          <w:szCs w:val="20"/>
        </w:rPr>
        <w:t>/REGIMEN SIMPLIFICADO DE CONFIANZA</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47E6AA4A" w14:textId="77777777" w:rsidR="00781B59" w:rsidRDefault="00781B59" w:rsidP="007D1E76">
      <w:pPr>
        <w:spacing w:after="0" w:line="240" w:lineRule="auto"/>
        <w:jc w:val="both"/>
        <w:rPr>
          <w:rFonts w:ascii="Arial" w:hAnsi="Arial" w:cs="Arial"/>
          <w:b/>
          <w:sz w:val="20"/>
          <w:szCs w:val="20"/>
        </w:rPr>
      </w:pPr>
    </w:p>
    <w:p w14:paraId="18D87532" w14:textId="77777777" w:rsidR="00781B59" w:rsidRDefault="00781B59" w:rsidP="007D1E76">
      <w:pPr>
        <w:spacing w:after="0" w:line="240" w:lineRule="auto"/>
        <w:jc w:val="both"/>
        <w:rPr>
          <w:rFonts w:ascii="Arial" w:hAnsi="Arial" w:cs="Arial"/>
          <w:b/>
          <w:sz w:val="20"/>
          <w:szCs w:val="20"/>
        </w:rPr>
      </w:pPr>
    </w:p>
    <w:p w14:paraId="0FF2E2C4" w14:textId="77777777" w:rsidR="00781B59" w:rsidRDefault="00781B59" w:rsidP="007D1E76">
      <w:pPr>
        <w:spacing w:after="0" w:line="240" w:lineRule="auto"/>
        <w:jc w:val="both"/>
        <w:rPr>
          <w:rFonts w:ascii="Arial" w:hAnsi="Arial" w:cs="Arial"/>
          <w:b/>
          <w:sz w:val="20"/>
          <w:szCs w:val="20"/>
        </w:rPr>
      </w:pPr>
    </w:p>
    <w:p w14:paraId="2CDC9E8E" w14:textId="77777777" w:rsidR="00781B59" w:rsidRDefault="00781B59" w:rsidP="007D1E76">
      <w:pPr>
        <w:spacing w:after="0" w:line="240" w:lineRule="auto"/>
        <w:jc w:val="both"/>
        <w:rPr>
          <w:rFonts w:ascii="Arial" w:hAnsi="Arial" w:cs="Arial"/>
          <w:b/>
          <w:sz w:val="20"/>
          <w:szCs w:val="20"/>
        </w:rPr>
      </w:pPr>
    </w:p>
    <w:p w14:paraId="0397AEA7" w14:textId="77777777" w:rsidR="00781B59" w:rsidRDefault="00781B59" w:rsidP="007D1E76">
      <w:pPr>
        <w:spacing w:after="0" w:line="240" w:lineRule="auto"/>
        <w:jc w:val="both"/>
        <w:rPr>
          <w:rFonts w:ascii="Arial" w:hAnsi="Arial" w:cs="Arial"/>
          <w:b/>
          <w:sz w:val="20"/>
          <w:szCs w:val="20"/>
        </w:rPr>
      </w:pPr>
    </w:p>
    <w:p w14:paraId="30D3CE68" w14:textId="77777777" w:rsidR="00781B59" w:rsidRDefault="00781B59" w:rsidP="007D1E76">
      <w:pPr>
        <w:spacing w:after="0" w:line="240" w:lineRule="auto"/>
        <w:jc w:val="both"/>
        <w:rPr>
          <w:rFonts w:ascii="Arial" w:hAnsi="Arial" w:cs="Arial"/>
          <w:b/>
          <w:sz w:val="20"/>
          <w:szCs w:val="20"/>
        </w:rPr>
      </w:pPr>
    </w:p>
    <w:p w14:paraId="14B1B24C" w14:textId="77777777" w:rsidR="00781B59" w:rsidRDefault="00781B59" w:rsidP="007D1E76">
      <w:pPr>
        <w:spacing w:after="0" w:line="240" w:lineRule="auto"/>
        <w:jc w:val="both"/>
        <w:rPr>
          <w:rFonts w:ascii="Arial" w:hAnsi="Arial" w:cs="Arial"/>
          <w:b/>
          <w:sz w:val="20"/>
          <w:szCs w:val="20"/>
        </w:rPr>
      </w:pPr>
    </w:p>
    <w:p w14:paraId="4753D632" w14:textId="77777777" w:rsidR="00781B59" w:rsidRDefault="00781B59" w:rsidP="007D1E76">
      <w:pPr>
        <w:spacing w:after="0" w:line="240" w:lineRule="auto"/>
        <w:jc w:val="both"/>
        <w:rPr>
          <w:rFonts w:ascii="Arial" w:hAnsi="Arial" w:cs="Arial"/>
          <w:b/>
          <w:sz w:val="20"/>
          <w:szCs w:val="20"/>
        </w:rPr>
      </w:pPr>
    </w:p>
    <w:p w14:paraId="049197DA" w14:textId="77777777" w:rsidR="00781B59" w:rsidRDefault="00781B59" w:rsidP="007D1E76">
      <w:pPr>
        <w:spacing w:after="0" w:line="240" w:lineRule="auto"/>
        <w:jc w:val="both"/>
        <w:rPr>
          <w:rFonts w:ascii="Arial" w:hAnsi="Arial" w:cs="Arial"/>
          <w:b/>
          <w:sz w:val="20"/>
          <w:szCs w:val="20"/>
        </w:rPr>
      </w:pPr>
    </w:p>
    <w:p w14:paraId="7140DA16" w14:textId="77777777" w:rsidR="00781B59" w:rsidRDefault="00781B59" w:rsidP="007D1E76">
      <w:pPr>
        <w:spacing w:after="0" w:line="240" w:lineRule="auto"/>
        <w:jc w:val="both"/>
        <w:rPr>
          <w:rFonts w:ascii="Arial" w:hAnsi="Arial" w:cs="Arial"/>
          <w:b/>
          <w:sz w:val="20"/>
          <w:szCs w:val="20"/>
        </w:rPr>
      </w:pPr>
    </w:p>
    <w:p w14:paraId="4C9867C2" w14:textId="77777777" w:rsidR="00781B59" w:rsidRDefault="00781B59" w:rsidP="007D1E76">
      <w:pPr>
        <w:spacing w:after="0" w:line="240" w:lineRule="auto"/>
        <w:jc w:val="both"/>
        <w:rPr>
          <w:rFonts w:ascii="Arial" w:hAnsi="Arial" w:cs="Arial"/>
          <w:b/>
          <w:sz w:val="20"/>
          <w:szCs w:val="20"/>
        </w:rPr>
      </w:pPr>
    </w:p>
    <w:p w14:paraId="3306F07D" w14:textId="77777777" w:rsidR="00781B59" w:rsidRDefault="00781B59" w:rsidP="007D1E76">
      <w:pPr>
        <w:spacing w:after="0" w:line="240" w:lineRule="auto"/>
        <w:jc w:val="both"/>
        <w:rPr>
          <w:rFonts w:ascii="Arial" w:hAnsi="Arial" w:cs="Arial"/>
          <w:b/>
          <w:sz w:val="20"/>
          <w:szCs w:val="20"/>
        </w:rPr>
      </w:pPr>
    </w:p>
    <w:p w14:paraId="61594792" w14:textId="77777777" w:rsidR="00781B59" w:rsidRDefault="00781B59" w:rsidP="007D1E76">
      <w:pPr>
        <w:spacing w:after="0" w:line="240" w:lineRule="auto"/>
        <w:jc w:val="both"/>
        <w:rPr>
          <w:rFonts w:ascii="Arial" w:hAnsi="Arial" w:cs="Arial"/>
          <w:b/>
          <w:sz w:val="20"/>
          <w:szCs w:val="20"/>
        </w:rPr>
      </w:pPr>
    </w:p>
    <w:p w14:paraId="6EB77A6D" w14:textId="5CFD36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23F17226" w14:textId="39B44FD3" w:rsidR="00174F67" w:rsidRPr="00D75EFB" w:rsidRDefault="003E12F2" w:rsidP="00174F67">
      <w:pPr>
        <w:spacing w:after="0" w:line="240" w:lineRule="auto"/>
        <w:jc w:val="both"/>
        <w:rPr>
          <w:rFonts w:ascii="Arial" w:hAnsi="Arial" w:cs="Arial"/>
          <w:b/>
          <w:sz w:val="20"/>
          <w:szCs w:val="20"/>
        </w:rPr>
      </w:pPr>
      <w:r>
        <w:rPr>
          <w:rFonts w:ascii="Arial" w:hAnsi="Arial" w:cs="Arial"/>
          <w:b/>
          <w:sz w:val="20"/>
          <w:szCs w:val="20"/>
        </w:rPr>
        <w:t>4</w:t>
      </w:r>
      <w:r w:rsidR="007D1E76" w:rsidRPr="00D501AD">
        <w:rPr>
          <w:rFonts w:ascii="Arial" w:hAnsi="Arial" w:cs="Arial"/>
          <w:b/>
          <w:sz w:val="20"/>
          <w:szCs w:val="20"/>
        </w:rPr>
        <w:t>. Bases de Preparació</w:t>
      </w:r>
      <w:r w:rsidR="00E00323" w:rsidRPr="00D501AD">
        <w:rPr>
          <w:rFonts w:ascii="Arial" w:hAnsi="Arial" w:cs="Arial"/>
          <w:b/>
          <w:sz w:val="20"/>
          <w:szCs w:val="20"/>
        </w:rPr>
        <w:t>n de los Estados Financieros:</w:t>
      </w:r>
    </w:p>
    <w:p w14:paraId="00B4DB6C" w14:textId="77777777" w:rsidR="00174F67" w:rsidRPr="00D501AD" w:rsidRDefault="00174F67" w:rsidP="00174F67">
      <w:pPr>
        <w:spacing w:after="0" w:line="240" w:lineRule="auto"/>
        <w:jc w:val="both"/>
        <w:rPr>
          <w:rFonts w:ascii="Arial" w:hAnsi="Arial" w:cs="Arial"/>
          <w:sz w:val="20"/>
          <w:szCs w:val="20"/>
        </w:rPr>
      </w:pPr>
    </w:p>
    <w:p w14:paraId="381A76B2" w14:textId="28D792E7" w:rsidR="00174F67" w:rsidRPr="00D501AD" w:rsidRDefault="00174F67" w:rsidP="00DB309E">
      <w:pPr>
        <w:spacing w:after="0" w:line="240" w:lineRule="auto"/>
        <w:jc w:val="both"/>
        <w:rPr>
          <w:rFonts w:ascii="Arial" w:eastAsia="Times New Roman" w:hAnsi="Arial" w:cs="Arial"/>
          <w:color w:val="222222"/>
          <w:sz w:val="20"/>
          <w:szCs w:val="20"/>
          <w:lang w:eastAsia="es-MX"/>
        </w:rPr>
      </w:pPr>
      <w:r w:rsidRPr="00D501AD">
        <w:rPr>
          <w:rFonts w:ascii="Arial" w:hAnsi="Arial" w:cs="Arial"/>
          <w:b/>
          <w:sz w:val="20"/>
          <w:szCs w:val="20"/>
        </w:rPr>
        <w:t>a)</w:t>
      </w:r>
      <w:r w:rsidR="0087256B">
        <w:rPr>
          <w:rFonts w:ascii="Arial" w:hAnsi="Arial" w:cs="Arial"/>
          <w:b/>
          <w:sz w:val="20"/>
          <w:szCs w:val="20"/>
        </w:rPr>
        <w:t xml:space="preserve"> </w:t>
      </w: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150A91E2"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D501AD">
        <w:rPr>
          <w:rFonts w:ascii="Arial" w:hAnsi="Arial" w:cs="Arial"/>
          <w:sz w:val="20"/>
          <w:szCs w:val="20"/>
        </w:rPr>
        <w:t>los</w:t>
      </w:r>
      <w:r w:rsidR="00C75A42">
        <w:rPr>
          <w:rFonts w:ascii="Arial" w:hAnsi="Arial" w:cs="Arial"/>
          <w:sz w:val="20"/>
          <w:szCs w:val="20"/>
        </w:rPr>
        <w:t xml:space="preserve"> </w:t>
      </w:r>
      <w:r w:rsidRPr="00D501AD">
        <w:rPr>
          <w:rFonts w:ascii="Arial" w:hAnsi="Arial" w:cs="Arial"/>
          <w:sz w:val="20"/>
          <w:szCs w:val="20"/>
        </w:rPr>
        <w:t>mismos</w:t>
      </w:r>
      <w:proofErr w:type="gramEnd"/>
      <w:r w:rsidRPr="00D501AD">
        <w:rPr>
          <w:rFonts w:ascii="Arial" w:hAnsi="Arial" w:cs="Arial"/>
          <w:sz w:val="20"/>
          <w:szCs w:val="20"/>
        </w:rPr>
        <w:t>.</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7B9890CB" w14:textId="0F9BC3FA"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 xml:space="preserve">*Revelar los cambios en las políticas, la clasificación y medición de </w:t>
      </w:r>
      <w:proofErr w:type="gramStart"/>
      <w:r w:rsidRPr="00D501AD">
        <w:rPr>
          <w:rFonts w:ascii="Arial" w:hAnsi="Arial" w:cs="Arial"/>
          <w:sz w:val="20"/>
          <w:szCs w:val="20"/>
        </w:rPr>
        <w:t>las mismas</w:t>
      </w:r>
      <w:proofErr w:type="gramEnd"/>
      <w:r w:rsidRPr="00D501AD">
        <w:rPr>
          <w:rFonts w:ascii="Arial" w:hAnsi="Arial" w:cs="Arial"/>
          <w:sz w:val="20"/>
          <w:szCs w:val="20"/>
        </w:rPr>
        <w:t>,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6FA66D58" w:rsidR="007D1E76" w:rsidRPr="00D501AD" w:rsidRDefault="00D75EFB" w:rsidP="007D1E76">
      <w:pPr>
        <w:spacing w:after="0" w:line="240" w:lineRule="auto"/>
        <w:jc w:val="both"/>
        <w:rPr>
          <w:rFonts w:ascii="Arial" w:hAnsi="Arial" w:cs="Arial"/>
          <w:b/>
          <w:sz w:val="20"/>
          <w:szCs w:val="20"/>
        </w:rPr>
      </w:pPr>
      <w:r>
        <w:rPr>
          <w:rFonts w:ascii="Arial" w:hAnsi="Arial" w:cs="Arial"/>
          <w:b/>
          <w:sz w:val="20"/>
          <w:szCs w:val="20"/>
        </w:rPr>
        <w:t>5</w:t>
      </w:r>
      <w:r w:rsidR="007D1E76" w:rsidRPr="00D501AD">
        <w:rPr>
          <w:rFonts w:ascii="Arial" w:hAnsi="Arial" w:cs="Arial"/>
          <w:b/>
          <w:sz w:val="20"/>
          <w:szCs w:val="20"/>
        </w:rPr>
        <w:t>. Políticas de</w:t>
      </w:r>
      <w:r w:rsidR="00E00323" w:rsidRPr="00D501AD">
        <w:rPr>
          <w:rFonts w:ascii="Arial" w:hAnsi="Arial" w:cs="Arial"/>
          <w:b/>
          <w:sz w:val="20"/>
          <w:szCs w:val="20"/>
        </w:rPr>
        <w:t xml:space="preserve"> Contabilidad Significativas:</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6FDF74D4"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2D36EC12" w14:textId="77777777" w:rsidR="00661ACA" w:rsidRDefault="00661ACA" w:rsidP="00C5399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 xml:space="preserve">A otorga el programa de becas para empleados y </w:t>
      </w:r>
      <w:proofErr w:type="gramStart"/>
      <w:r w:rsidR="00354B23" w:rsidRPr="00D501AD">
        <w:rPr>
          <w:rFonts w:ascii="Arial" w:hAnsi="Arial" w:cs="Arial"/>
          <w:sz w:val="20"/>
          <w:szCs w:val="20"/>
        </w:rPr>
        <w:t>trabajadores</w:t>
      </w:r>
      <w:proofErr w:type="gramEnd"/>
      <w:r w:rsidR="00354B23" w:rsidRPr="00D501AD">
        <w:rPr>
          <w:rFonts w:ascii="Arial" w:hAnsi="Arial" w:cs="Arial"/>
          <w:sz w:val="20"/>
          <w:szCs w:val="20"/>
        </w:rPr>
        <w:t xml:space="preserve">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2E045AF6" w:rsidR="007D1E76" w:rsidRPr="00D501AD" w:rsidRDefault="00D75EFB" w:rsidP="007D1E76">
      <w:pPr>
        <w:spacing w:after="0" w:line="240" w:lineRule="auto"/>
        <w:jc w:val="both"/>
        <w:rPr>
          <w:rFonts w:ascii="Arial" w:hAnsi="Arial" w:cs="Arial"/>
          <w:b/>
          <w:sz w:val="20"/>
          <w:szCs w:val="20"/>
        </w:rPr>
      </w:pPr>
      <w:r>
        <w:rPr>
          <w:rFonts w:ascii="Arial" w:hAnsi="Arial" w:cs="Arial"/>
          <w:b/>
          <w:sz w:val="20"/>
          <w:szCs w:val="20"/>
        </w:rPr>
        <w:t>6</w:t>
      </w:r>
      <w:r w:rsidR="007D1E76" w:rsidRPr="00D501AD">
        <w:rPr>
          <w:rFonts w:ascii="Arial" w:hAnsi="Arial" w:cs="Arial"/>
          <w:b/>
          <w:sz w:val="20"/>
          <w:szCs w:val="20"/>
        </w:rPr>
        <w:t>. Posición en Moneda Extranjera y Pro</w:t>
      </w:r>
      <w:r w:rsidR="00E00323" w:rsidRPr="00D501AD">
        <w:rPr>
          <w:rFonts w:ascii="Arial" w:hAnsi="Arial" w:cs="Arial"/>
          <w:b/>
          <w:sz w:val="20"/>
          <w:szCs w:val="20"/>
        </w:rPr>
        <w:t>tección por Riesgo Cambiario:</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6B0A6883" w14:textId="77777777" w:rsidR="007D1E76" w:rsidRPr="00D501AD" w:rsidRDefault="007D1E76" w:rsidP="007D1E76">
      <w:pPr>
        <w:spacing w:after="0" w:line="240" w:lineRule="auto"/>
        <w:jc w:val="both"/>
        <w:rPr>
          <w:rFonts w:ascii="Arial" w:hAnsi="Arial" w:cs="Arial"/>
          <w:sz w:val="20"/>
          <w:szCs w:val="20"/>
        </w:rPr>
      </w:pPr>
    </w:p>
    <w:p w14:paraId="4478C701" w14:textId="77777777" w:rsidR="001A4B1E" w:rsidRDefault="001A4B1E" w:rsidP="007D1E76">
      <w:pPr>
        <w:spacing w:after="0" w:line="240" w:lineRule="auto"/>
        <w:jc w:val="both"/>
        <w:rPr>
          <w:rFonts w:ascii="Arial" w:hAnsi="Arial" w:cs="Arial"/>
          <w:b/>
          <w:sz w:val="20"/>
          <w:szCs w:val="20"/>
        </w:rPr>
      </w:pPr>
    </w:p>
    <w:p w14:paraId="42E06352" w14:textId="77777777" w:rsidR="001A4B1E" w:rsidRDefault="001A4B1E" w:rsidP="007D1E76">
      <w:pPr>
        <w:spacing w:after="0" w:line="240" w:lineRule="auto"/>
        <w:jc w:val="both"/>
        <w:rPr>
          <w:rFonts w:ascii="Arial" w:hAnsi="Arial" w:cs="Arial"/>
          <w:b/>
          <w:sz w:val="20"/>
          <w:szCs w:val="20"/>
        </w:rPr>
      </w:pPr>
    </w:p>
    <w:p w14:paraId="393B8773" w14:textId="77777777" w:rsidR="001A4B1E" w:rsidRDefault="001A4B1E" w:rsidP="007D1E76">
      <w:pPr>
        <w:spacing w:after="0" w:line="240" w:lineRule="auto"/>
        <w:jc w:val="both"/>
        <w:rPr>
          <w:rFonts w:ascii="Arial" w:hAnsi="Arial" w:cs="Arial"/>
          <w:b/>
          <w:sz w:val="20"/>
          <w:szCs w:val="20"/>
        </w:rPr>
      </w:pPr>
    </w:p>
    <w:p w14:paraId="086715C3" w14:textId="77777777" w:rsidR="001A4B1E" w:rsidRDefault="001A4B1E" w:rsidP="007D1E76">
      <w:pPr>
        <w:spacing w:after="0" w:line="240" w:lineRule="auto"/>
        <w:jc w:val="both"/>
        <w:rPr>
          <w:rFonts w:ascii="Arial" w:hAnsi="Arial" w:cs="Arial"/>
          <w:b/>
          <w:sz w:val="20"/>
          <w:szCs w:val="20"/>
        </w:rPr>
      </w:pPr>
    </w:p>
    <w:p w14:paraId="1241DD4A" w14:textId="77777777" w:rsidR="001A4B1E" w:rsidRDefault="001A4B1E" w:rsidP="007D1E76">
      <w:pPr>
        <w:spacing w:after="0" w:line="240" w:lineRule="auto"/>
        <w:jc w:val="both"/>
        <w:rPr>
          <w:rFonts w:ascii="Arial" w:hAnsi="Arial" w:cs="Arial"/>
          <w:b/>
          <w:sz w:val="20"/>
          <w:szCs w:val="20"/>
        </w:rPr>
      </w:pPr>
    </w:p>
    <w:p w14:paraId="53BD008A" w14:textId="77777777" w:rsidR="001A4B1E" w:rsidRDefault="001A4B1E" w:rsidP="007D1E76">
      <w:pPr>
        <w:spacing w:after="0" w:line="240" w:lineRule="auto"/>
        <w:jc w:val="both"/>
        <w:rPr>
          <w:rFonts w:ascii="Arial" w:hAnsi="Arial" w:cs="Arial"/>
          <w:b/>
          <w:sz w:val="20"/>
          <w:szCs w:val="20"/>
        </w:rPr>
      </w:pPr>
    </w:p>
    <w:p w14:paraId="095853FE" w14:textId="03D31443" w:rsidR="007D1E76" w:rsidRPr="00D501AD" w:rsidRDefault="00DB309E" w:rsidP="007D1E76">
      <w:pPr>
        <w:spacing w:after="0" w:line="240" w:lineRule="auto"/>
        <w:jc w:val="both"/>
        <w:rPr>
          <w:rFonts w:ascii="Arial" w:hAnsi="Arial" w:cs="Arial"/>
          <w:b/>
          <w:sz w:val="20"/>
          <w:szCs w:val="20"/>
        </w:rPr>
      </w:pPr>
      <w:r>
        <w:rPr>
          <w:rFonts w:ascii="Arial" w:hAnsi="Arial" w:cs="Arial"/>
          <w:b/>
          <w:sz w:val="20"/>
          <w:szCs w:val="20"/>
        </w:rPr>
        <w:lastRenderedPageBreak/>
        <w:t>7</w:t>
      </w:r>
      <w:r w:rsidR="007D1E76" w:rsidRPr="00D501AD">
        <w:rPr>
          <w:rFonts w:ascii="Arial" w:hAnsi="Arial" w:cs="Arial"/>
          <w:b/>
          <w:sz w:val="20"/>
          <w:szCs w:val="20"/>
        </w:rPr>
        <w:t xml:space="preserve">.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75FC11C" w14:textId="77777777" w:rsidR="0087256B" w:rsidRDefault="0087256B" w:rsidP="007D1E76">
      <w:pPr>
        <w:spacing w:after="0" w:line="240" w:lineRule="auto"/>
        <w:jc w:val="both"/>
        <w:rPr>
          <w:rFonts w:ascii="Arial" w:hAnsi="Arial" w:cs="Arial"/>
          <w:b/>
          <w:sz w:val="20"/>
          <w:szCs w:val="20"/>
        </w:rPr>
      </w:pPr>
    </w:p>
    <w:p w14:paraId="7FD13FA2" w14:textId="6A91D330"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1EE84B77"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661ACA">
        <w:rPr>
          <w:rFonts w:ascii="Arial" w:hAnsi="Arial" w:cs="Arial"/>
          <w:sz w:val="20"/>
          <w:szCs w:val="20"/>
        </w:rPr>
        <w:t>3</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3CD43ED5" w14:textId="77777777" w:rsidR="001A4B1E" w:rsidRDefault="001A4B1E" w:rsidP="007D1E76">
      <w:pPr>
        <w:spacing w:after="0" w:line="240" w:lineRule="auto"/>
        <w:jc w:val="both"/>
        <w:rPr>
          <w:rFonts w:ascii="Arial" w:hAnsi="Arial" w:cs="Arial"/>
          <w:b/>
          <w:sz w:val="20"/>
          <w:szCs w:val="20"/>
        </w:rPr>
      </w:pPr>
    </w:p>
    <w:p w14:paraId="2D957F4B" w14:textId="14CAA2CD" w:rsidR="007D1E76" w:rsidRPr="00D501AD" w:rsidRDefault="00441AA3" w:rsidP="007D1E76">
      <w:pPr>
        <w:spacing w:after="0" w:line="240" w:lineRule="auto"/>
        <w:jc w:val="both"/>
        <w:rPr>
          <w:rFonts w:ascii="Arial" w:hAnsi="Arial" w:cs="Arial"/>
          <w:b/>
          <w:sz w:val="20"/>
          <w:szCs w:val="20"/>
        </w:rPr>
      </w:pPr>
      <w:r>
        <w:rPr>
          <w:rFonts w:ascii="Arial" w:hAnsi="Arial" w:cs="Arial"/>
          <w:b/>
          <w:sz w:val="20"/>
          <w:szCs w:val="20"/>
        </w:rPr>
        <w:lastRenderedPageBreak/>
        <w:t>8</w:t>
      </w:r>
      <w:r w:rsidR="007D1E76" w:rsidRPr="00D501AD">
        <w:rPr>
          <w:rFonts w:ascii="Arial" w:hAnsi="Arial" w:cs="Arial"/>
          <w:b/>
          <w:sz w:val="20"/>
          <w:szCs w:val="20"/>
        </w:rPr>
        <w:t>. Fidei</w:t>
      </w:r>
      <w:r w:rsidR="005E231E" w:rsidRPr="00D501AD">
        <w:rPr>
          <w:rFonts w:ascii="Arial" w:hAnsi="Arial" w:cs="Arial"/>
          <w:b/>
          <w:sz w:val="20"/>
          <w:szCs w:val="20"/>
        </w:rPr>
        <w:t>comisos, Mandatos y Análogos:</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2F60B1C6" w14:textId="3FDE3723" w:rsidR="007D1E76" w:rsidRPr="00D501AD" w:rsidRDefault="0087256B" w:rsidP="007D1E76">
      <w:pPr>
        <w:spacing w:after="0" w:line="240" w:lineRule="auto"/>
        <w:jc w:val="both"/>
        <w:rPr>
          <w:rFonts w:ascii="Arial" w:hAnsi="Arial" w:cs="Arial"/>
          <w:b/>
          <w:sz w:val="20"/>
          <w:szCs w:val="20"/>
        </w:rPr>
      </w:pPr>
      <w:r>
        <w:rPr>
          <w:rFonts w:ascii="Arial" w:hAnsi="Arial" w:cs="Arial"/>
          <w:b/>
          <w:sz w:val="20"/>
          <w:szCs w:val="20"/>
        </w:rPr>
        <w:t>9</w:t>
      </w:r>
      <w:r w:rsidR="007D1E76" w:rsidRPr="00D501AD">
        <w:rPr>
          <w:rFonts w:ascii="Arial" w:hAnsi="Arial" w:cs="Arial"/>
          <w:b/>
          <w:sz w:val="20"/>
          <w:szCs w:val="20"/>
        </w:rPr>
        <w:t>.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5A39E436"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0</w:t>
      </w:r>
      <w:r w:rsidRPr="00D501AD">
        <w:rPr>
          <w:rFonts w:ascii="Arial" w:hAnsi="Arial" w:cs="Arial"/>
          <w:b/>
          <w:sz w:val="20"/>
          <w:szCs w:val="20"/>
        </w:rPr>
        <w:t>.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xml:space="preserve">* Se </w:t>
      </w:r>
      <w:proofErr w:type="gramStart"/>
      <w:r w:rsidRPr="00D501AD">
        <w:rPr>
          <w:rFonts w:ascii="Arial" w:hAnsi="Arial" w:cs="Arial"/>
          <w:sz w:val="20"/>
          <w:szCs w:val="20"/>
        </w:rPr>
        <w:t>anexara</w:t>
      </w:r>
      <w:proofErr w:type="gramEnd"/>
      <w:r w:rsidRPr="00D501AD">
        <w:rPr>
          <w:rFonts w:ascii="Arial" w:hAnsi="Arial" w:cs="Arial"/>
          <w:sz w:val="20"/>
          <w:szCs w:val="20"/>
        </w:rPr>
        <w:t xml:space="preserve">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3D6D7501"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1</w:t>
      </w:r>
      <w:r w:rsidRPr="00D501AD">
        <w:rPr>
          <w:rFonts w:ascii="Arial" w:hAnsi="Arial" w:cs="Arial"/>
          <w:b/>
          <w:sz w:val="20"/>
          <w:szCs w:val="20"/>
        </w:rPr>
        <w:t>.</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33056F38"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2</w:t>
      </w:r>
      <w:r w:rsidRPr="00D501AD">
        <w:rPr>
          <w:rFonts w:ascii="Arial" w:hAnsi="Arial" w:cs="Arial"/>
          <w:b/>
          <w:sz w:val="20"/>
          <w:szCs w:val="20"/>
        </w:rPr>
        <w:t>. Proceso de Mejora:</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39E01202"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Lineamientos del Sistema de Evaluación al Desempeño Institucional del Tribunal de Justicia Administrativa del Estado de Guanajuato para el Ejercicio Fiscal 202</w:t>
      </w:r>
      <w:r w:rsidR="00661ACA">
        <w:rPr>
          <w:rFonts w:ascii="Arial" w:eastAsia="Times New Roman" w:hAnsi="Arial" w:cs="Arial"/>
          <w:color w:val="0A0A0A"/>
          <w:sz w:val="20"/>
          <w:szCs w:val="20"/>
          <w:bdr w:val="none" w:sz="0" w:space="0" w:color="auto" w:frame="1"/>
          <w:lang w:eastAsia="es-MX"/>
        </w:rPr>
        <w:t>3</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8BB71D5"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3</w:t>
      </w:r>
      <w:r w:rsidR="005E231E" w:rsidRPr="00D501AD">
        <w:rPr>
          <w:rFonts w:ascii="Arial" w:hAnsi="Arial" w:cs="Arial"/>
          <w:b/>
          <w:sz w:val="20"/>
          <w:szCs w:val="20"/>
        </w:rPr>
        <w:t>.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w:t>
      </w:r>
      <w:r w:rsidRPr="00D501AD">
        <w:rPr>
          <w:rFonts w:ascii="Arial" w:hAnsi="Arial" w:cs="Arial"/>
          <w:sz w:val="20"/>
          <w:szCs w:val="20"/>
        </w:rPr>
        <w:lastRenderedPageBreak/>
        <w:t>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Default="007D1E76" w:rsidP="007D1E76">
      <w:pPr>
        <w:spacing w:after="0" w:line="240" w:lineRule="auto"/>
        <w:jc w:val="both"/>
        <w:rPr>
          <w:rFonts w:ascii="Arial" w:hAnsi="Arial" w:cs="Arial"/>
          <w:sz w:val="20"/>
          <w:szCs w:val="20"/>
        </w:rPr>
      </w:pPr>
    </w:p>
    <w:p w14:paraId="0FCC466A" w14:textId="77777777" w:rsidR="0087256B" w:rsidRPr="00D501AD" w:rsidRDefault="0087256B"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2398AAB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4</w:t>
      </w:r>
      <w:r w:rsidRPr="00D501AD">
        <w:rPr>
          <w:rFonts w:ascii="Arial" w:hAnsi="Arial" w:cs="Arial"/>
          <w:b/>
          <w:sz w:val="20"/>
          <w:szCs w:val="20"/>
        </w:rPr>
        <w:t>.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7228B5B0" w14:textId="41DE3FFA" w:rsidR="00A11DB9" w:rsidRPr="00D501AD" w:rsidRDefault="001E6C8E" w:rsidP="001E6C8E">
      <w:pPr>
        <w:spacing w:after="0" w:line="240" w:lineRule="auto"/>
        <w:ind w:firstLine="708"/>
        <w:jc w:val="both"/>
        <w:rPr>
          <w:rFonts w:ascii="Arial" w:hAnsi="Arial" w:cs="Arial"/>
          <w:sz w:val="20"/>
          <w:szCs w:val="20"/>
        </w:rPr>
      </w:pPr>
      <w:r>
        <w:rPr>
          <w:rFonts w:ascii="Arial" w:hAnsi="Arial" w:cs="Arial"/>
          <w:sz w:val="20"/>
          <w:szCs w:val="20"/>
        </w:rPr>
        <w:t xml:space="preserve">Por instrucciones de Secretaría de Finanzas y Administración se cambiaron las cuentas contables a diez dígitos, las unidades responsables a quince dígitos y se </w:t>
      </w:r>
      <w:proofErr w:type="spellStart"/>
      <w:r>
        <w:rPr>
          <w:rFonts w:ascii="Arial" w:hAnsi="Arial" w:cs="Arial"/>
          <w:sz w:val="20"/>
          <w:szCs w:val="20"/>
        </w:rPr>
        <w:t>cambio</w:t>
      </w:r>
      <w:proofErr w:type="spellEnd"/>
      <w:r>
        <w:rPr>
          <w:rFonts w:ascii="Arial" w:hAnsi="Arial" w:cs="Arial"/>
          <w:sz w:val="20"/>
          <w:szCs w:val="20"/>
        </w:rPr>
        <w:t xml:space="preserve"> el código funcional</w:t>
      </w:r>
      <w:r w:rsidR="00A11DB9" w:rsidRPr="00D501AD">
        <w:rPr>
          <w:rFonts w:ascii="Arial" w:hAnsi="Arial" w:cs="Arial"/>
          <w:sz w:val="20"/>
          <w:szCs w:val="20"/>
        </w:rPr>
        <w:t>.</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24170878"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5</w:t>
      </w:r>
      <w:r w:rsidRPr="00D501AD">
        <w:rPr>
          <w:rFonts w:ascii="Arial" w:hAnsi="Arial" w:cs="Arial"/>
          <w:b/>
          <w:sz w:val="20"/>
          <w:szCs w:val="20"/>
        </w:rPr>
        <w:t>.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731456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6</w:t>
      </w:r>
      <w:r w:rsidRPr="00D501AD">
        <w:rPr>
          <w:rFonts w:ascii="Arial" w:hAnsi="Arial" w:cs="Arial"/>
          <w:b/>
          <w:sz w:val="20"/>
          <w:szCs w:val="20"/>
        </w:rPr>
        <w:t xml:space="preserve">.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 xml:space="preserve">La Información Contable deberá estar firmada en cada página de </w:t>
      </w:r>
      <w:proofErr w:type="gramStart"/>
      <w:r w:rsidRPr="00D501AD">
        <w:rPr>
          <w:rFonts w:ascii="Arial" w:hAnsi="Arial" w:cs="Arial"/>
          <w:sz w:val="20"/>
          <w:szCs w:val="20"/>
        </w:rPr>
        <w:t>la misma</w:t>
      </w:r>
      <w:proofErr w:type="gramEnd"/>
      <w:r w:rsidRPr="00D501AD">
        <w:rPr>
          <w:rFonts w:ascii="Arial" w:hAnsi="Arial" w:cs="Arial"/>
          <w:sz w:val="20"/>
          <w:szCs w:val="20"/>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C8671C">
      <w:headerReference w:type="default" r:id="rId12"/>
      <w:pgSz w:w="12240" w:h="15840" w:code="1"/>
      <w:pgMar w:top="1588" w:right="720" w:bottom="192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A208" w14:textId="77777777" w:rsidR="00C8671C" w:rsidRDefault="00C8671C" w:rsidP="00E00323">
      <w:pPr>
        <w:spacing w:after="0" w:line="240" w:lineRule="auto"/>
      </w:pPr>
      <w:r>
        <w:separator/>
      </w:r>
    </w:p>
  </w:endnote>
  <w:endnote w:type="continuationSeparator" w:id="0">
    <w:p w14:paraId="583C0FAB" w14:textId="77777777" w:rsidR="00C8671C" w:rsidRDefault="00C8671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D07A" w14:textId="77777777" w:rsidR="00C8671C" w:rsidRDefault="00C8671C" w:rsidP="00E00323">
      <w:pPr>
        <w:spacing w:after="0" w:line="240" w:lineRule="auto"/>
      </w:pPr>
      <w:r>
        <w:separator/>
      </w:r>
    </w:p>
  </w:footnote>
  <w:footnote w:type="continuationSeparator" w:id="0">
    <w:p w14:paraId="2BE54875" w14:textId="77777777" w:rsidR="00C8671C" w:rsidRDefault="00C8671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564106">
    <w:abstractNumId w:val="6"/>
  </w:num>
  <w:num w:numId="2" w16cid:durableId="1644501321">
    <w:abstractNumId w:val="1"/>
  </w:num>
  <w:num w:numId="3" w16cid:durableId="1111824591">
    <w:abstractNumId w:val="0"/>
  </w:num>
  <w:num w:numId="4" w16cid:durableId="373622036">
    <w:abstractNumId w:val="9"/>
  </w:num>
  <w:num w:numId="5" w16cid:durableId="1945064980">
    <w:abstractNumId w:val="2"/>
  </w:num>
  <w:num w:numId="6" w16cid:durableId="405953493">
    <w:abstractNumId w:val="3"/>
  </w:num>
  <w:num w:numId="7" w16cid:durableId="448477388">
    <w:abstractNumId w:val="8"/>
  </w:num>
  <w:num w:numId="8" w16cid:durableId="789471096">
    <w:abstractNumId w:val="10"/>
  </w:num>
  <w:num w:numId="9" w16cid:durableId="874075462">
    <w:abstractNumId w:val="5"/>
  </w:num>
  <w:num w:numId="10" w16cid:durableId="190194874">
    <w:abstractNumId w:val="7"/>
  </w:num>
  <w:num w:numId="11" w16cid:durableId="197305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7F46"/>
    <w:rsid w:val="00091CE6"/>
    <w:rsid w:val="000A07AD"/>
    <w:rsid w:val="000B61C7"/>
    <w:rsid w:val="000B7810"/>
    <w:rsid w:val="000F08DC"/>
    <w:rsid w:val="001023AE"/>
    <w:rsid w:val="0010392B"/>
    <w:rsid w:val="00127BAB"/>
    <w:rsid w:val="00144572"/>
    <w:rsid w:val="00154BA3"/>
    <w:rsid w:val="001564AC"/>
    <w:rsid w:val="00174F67"/>
    <w:rsid w:val="001973A2"/>
    <w:rsid w:val="001A4B1E"/>
    <w:rsid w:val="001C75F2"/>
    <w:rsid w:val="001D2063"/>
    <w:rsid w:val="001E6C8E"/>
    <w:rsid w:val="002277EF"/>
    <w:rsid w:val="0023777D"/>
    <w:rsid w:val="00257C2C"/>
    <w:rsid w:val="00284FB5"/>
    <w:rsid w:val="002A7480"/>
    <w:rsid w:val="002C1A40"/>
    <w:rsid w:val="002C4ED6"/>
    <w:rsid w:val="003077E1"/>
    <w:rsid w:val="00344259"/>
    <w:rsid w:val="00345BAF"/>
    <w:rsid w:val="00350FF2"/>
    <w:rsid w:val="00354B23"/>
    <w:rsid w:val="00360A4F"/>
    <w:rsid w:val="00367B6D"/>
    <w:rsid w:val="00391954"/>
    <w:rsid w:val="003D3D47"/>
    <w:rsid w:val="003E12F2"/>
    <w:rsid w:val="003E3B8B"/>
    <w:rsid w:val="003F3441"/>
    <w:rsid w:val="00435A87"/>
    <w:rsid w:val="00441AA3"/>
    <w:rsid w:val="0045352B"/>
    <w:rsid w:val="004536A9"/>
    <w:rsid w:val="004548B0"/>
    <w:rsid w:val="004775D9"/>
    <w:rsid w:val="004A58C8"/>
    <w:rsid w:val="004B2D80"/>
    <w:rsid w:val="004C6856"/>
    <w:rsid w:val="005014A2"/>
    <w:rsid w:val="0050346B"/>
    <w:rsid w:val="00504503"/>
    <w:rsid w:val="005230C6"/>
    <w:rsid w:val="00564EDB"/>
    <w:rsid w:val="005C6AB9"/>
    <w:rsid w:val="005D3E43"/>
    <w:rsid w:val="005E1247"/>
    <w:rsid w:val="005E231E"/>
    <w:rsid w:val="005E3F0B"/>
    <w:rsid w:val="0060338A"/>
    <w:rsid w:val="00620E89"/>
    <w:rsid w:val="00623CB3"/>
    <w:rsid w:val="006344E9"/>
    <w:rsid w:val="00647A71"/>
    <w:rsid w:val="00657009"/>
    <w:rsid w:val="00661ACA"/>
    <w:rsid w:val="006627F0"/>
    <w:rsid w:val="00666B16"/>
    <w:rsid w:val="00671A72"/>
    <w:rsid w:val="00681C79"/>
    <w:rsid w:val="006A5E04"/>
    <w:rsid w:val="006B7891"/>
    <w:rsid w:val="007119B2"/>
    <w:rsid w:val="00721C47"/>
    <w:rsid w:val="00736D5E"/>
    <w:rsid w:val="007610BC"/>
    <w:rsid w:val="007714AB"/>
    <w:rsid w:val="00781B59"/>
    <w:rsid w:val="007A056B"/>
    <w:rsid w:val="007A14F0"/>
    <w:rsid w:val="007B6FCF"/>
    <w:rsid w:val="007D1E76"/>
    <w:rsid w:val="007D64C4"/>
    <w:rsid w:val="007E089D"/>
    <w:rsid w:val="007F0FAC"/>
    <w:rsid w:val="007F2FA6"/>
    <w:rsid w:val="007F5911"/>
    <w:rsid w:val="008275F7"/>
    <w:rsid w:val="00835EC9"/>
    <w:rsid w:val="0086459F"/>
    <w:rsid w:val="0087256B"/>
    <w:rsid w:val="0087407E"/>
    <w:rsid w:val="008765F3"/>
    <w:rsid w:val="00876A36"/>
    <w:rsid w:val="00880CA7"/>
    <w:rsid w:val="00883BB8"/>
    <w:rsid w:val="008A1D7C"/>
    <w:rsid w:val="008C0610"/>
    <w:rsid w:val="008C0777"/>
    <w:rsid w:val="008E076C"/>
    <w:rsid w:val="00920C16"/>
    <w:rsid w:val="00951549"/>
    <w:rsid w:val="009B2C3D"/>
    <w:rsid w:val="009D3EAB"/>
    <w:rsid w:val="00A10114"/>
    <w:rsid w:val="00A11DB9"/>
    <w:rsid w:val="00A26544"/>
    <w:rsid w:val="00AA41E5"/>
    <w:rsid w:val="00AA5D80"/>
    <w:rsid w:val="00AC5EA9"/>
    <w:rsid w:val="00AD6A0D"/>
    <w:rsid w:val="00AE1A12"/>
    <w:rsid w:val="00AE1F6A"/>
    <w:rsid w:val="00AF6D75"/>
    <w:rsid w:val="00B07676"/>
    <w:rsid w:val="00B246D5"/>
    <w:rsid w:val="00B32F9A"/>
    <w:rsid w:val="00B46169"/>
    <w:rsid w:val="00B5222B"/>
    <w:rsid w:val="00B60E68"/>
    <w:rsid w:val="00B732DA"/>
    <w:rsid w:val="00B76227"/>
    <w:rsid w:val="00BA3018"/>
    <w:rsid w:val="00BB5B7E"/>
    <w:rsid w:val="00BD628E"/>
    <w:rsid w:val="00C53996"/>
    <w:rsid w:val="00C660FF"/>
    <w:rsid w:val="00C75A42"/>
    <w:rsid w:val="00C803F0"/>
    <w:rsid w:val="00C8671C"/>
    <w:rsid w:val="00CA4CA8"/>
    <w:rsid w:val="00CB47FE"/>
    <w:rsid w:val="00D13C44"/>
    <w:rsid w:val="00D32C6A"/>
    <w:rsid w:val="00D32EF7"/>
    <w:rsid w:val="00D4630A"/>
    <w:rsid w:val="00D501AD"/>
    <w:rsid w:val="00D56B7E"/>
    <w:rsid w:val="00D75EFB"/>
    <w:rsid w:val="00D92383"/>
    <w:rsid w:val="00D975B1"/>
    <w:rsid w:val="00D97E86"/>
    <w:rsid w:val="00DB309E"/>
    <w:rsid w:val="00DF626E"/>
    <w:rsid w:val="00DF705F"/>
    <w:rsid w:val="00E00323"/>
    <w:rsid w:val="00E13756"/>
    <w:rsid w:val="00E312C7"/>
    <w:rsid w:val="00E42A30"/>
    <w:rsid w:val="00E6421F"/>
    <w:rsid w:val="00E64D40"/>
    <w:rsid w:val="00E6571C"/>
    <w:rsid w:val="00E74967"/>
    <w:rsid w:val="00EA7915"/>
    <w:rsid w:val="00ED5C81"/>
    <w:rsid w:val="00ED7CF6"/>
    <w:rsid w:val="00F4262E"/>
    <w:rsid w:val="00F511F8"/>
    <w:rsid w:val="00F62D2A"/>
    <w:rsid w:val="00F72888"/>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259148946">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2661</Words>
  <Characters>15173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 Consuelo Cadena González</cp:lastModifiedBy>
  <cp:revision>19</cp:revision>
  <cp:lastPrinted>2024-01-25T16:42:00Z</cp:lastPrinted>
  <dcterms:created xsi:type="dcterms:W3CDTF">2023-01-12T22:11:00Z</dcterms:created>
  <dcterms:modified xsi:type="dcterms:W3CDTF">2024-01-25T16:43:00Z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