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3285DC0B" w14:textId="77777777" w:rsidR="007D1E76" w:rsidRPr="00D501AD" w:rsidRDefault="007D1E76" w:rsidP="007D1E76">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t xml:space="preserve">El pasado 21 de Junio del año </w:t>
      </w:r>
      <w:r w:rsidR="00257C2C" w:rsidRPr="00D501AD">
        <w:rPr>
          <w:rFonts w:ascii="Arial" w:hAnsi="Arial" w:cs="Arial"/>
          <w:sz w:val="20"/>
          <w:szCs w:val="20"/>
        </w:rPr>
        <w:t>2017</w:t>
      </w:r>
      <w:r w:rsidRPr="00D501AD">
        <w:rPr>
          <w:rFonts w:ascii="Arial" w:hAnsi="Arial" w:cs="Arial"/>
          <w:sz w:val="20"/>
          <w:szCs w:val="20"/>
        </w:rPr>
        <w:t xml:space="preserve">, entró en vigor la Ley Orgánica del Tribunal de Justicia Administrativa del Estado de Guanajuato, de conformidad con el Artículo Primero Transitorio del Decreto </w:t>
      </w:r>
      <w:r w:rsidRPr="00D501AD">
        <w:rPr>
          <w:rFonts w:ascii="Arial" w:hAnsi="Arial" w:cs="Arial"/>
          <w:sz w:val="20"/>
          <w:szCs w:val="20"/>
        </w:rPr>
        <w:lastRenderedPageBreak/>
        <w:t>Legislativo  número 196, expedido por la Sexagésima Tercera Legislatura  Constitucional del Estado Libre y Soberano de Guanajuato, mediante el cual  se expide la Ley Orgánica de nuestro Tribunal.</w:t>
      </w:r>
    </w:p>
    <w:p w14:paraId="66E5E490" w14:textId="77777777" w:rsidR="00E64D40" w:rsidRPr="00D501AD" w:rsidRDefault="00E64D40" w:rsidP="007D1E76">
      <w:pPr>
        <w:spacing w:after="0" w:line="240" w:lineRule="auto"/>
        <w:jc w:val="both"/>
        <w:rPr>
          <w:rFonts w:ascii="Arial" w:hAnsi="Arial" w:cs="Arial"/>
          <w:sz w:val="20"/>
          <w:szCs w:val="20"/>
        </w:rPr>
      </w:pPr>
    </w:p>
    <w:p w14:paraId="1C7E666B" w14:textId="77777777" w:rsidR="00E64D40" w:rsidRPr="00D501AD" w:rsidRDefault="00E64D40" w:rsidP="007D1E76">
      <w:pPr>
        <w:spacing w:after="0" w:line="240" w:lineRule="auto"/>
        <w:jc w:val="both"/>
        <w:rPr>
          <w:rFonts w:ascii="Arial" w:hAnsi="Arial" w:cs="Arial"/>
          <w:sz w:val="20"/>
          <w:szCs w:val="20"/>
        </w:rPr>
      </w:pPr>
    </w:p>
    <w:p w14:paraId="08136E9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D501AD" w:rsidRDefault="007D1E76" w:rsidP="007D1E76">
      <w:pPr>
        <w:spacing w:after="0" w:line="240" w:lineRule="auto"/>
        <w:jc w:val="both"/>
        <w:rPr>
          <w:rFonts w:ascii="Arial" w:hAnsi="Arial" w:cs="Arial"/>
          <w:sz w:val="20"/>
          <w:szCs w:val="20"/>
        </w:rPr>
      </w:pPr>
    </w:p>
    <w:p w14:paraId="5C21D1A7" w14:textId="1E8D5A0B"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Enero a Dic</w:t>
      </w:r>
      <w:r w:rsidR="000F08DC">
        <w:rPr>
          <w:rFonts w:ascii="Arial" w:hAnsi="Arial" w:cs="Arial"/>
          <w:sz w:val="20"/>
          <w:szCs w:val="20"/>
        </w:rPr>
        <w:t>iembre</w:t>
      </w:r>
      <w:r w:rsidR="00D501AD">
        <w:rPr>
          <w:rFonts w:ascii="Arial" w:hAnsi="Arial" w:cs="Arial"/>
          <w:sz w:val="20"/>
          <w:szCs w:val="20"/>
        </w:rPr>
        <w:t xml:space="preserve"> 2021</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120B3621" w14:textId="7C07D4B2" w:rsidR="001023AE" w:rsidRPr="00D501AD" w:rsidRDefault="001023AE" w:rsidP="00ED7CF6">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68B22724" w14:textId="77777777" w:rsidR="007D1E76" w:rsidRPr="00D501AD" w:rsidRDefault="007D1E76" w:rsidP="007D1E76">
      <w:pPr>
        <w:spacing w:after="0" w:line="240" w:lineRule="auto"/>
        <w:jc w:val="both"/>
        <w:rPr>
          <w:rFonts w:ascii="Arial" w:hAnsi="Arial" w:cs="Arial"/>
          <w:sz w:val="20"/>
          <w:szCs w:val="20"/>
        </w:rPr>
      </w:pPr>
    </w:p>
    <w:p w14:paraId="15948964" w14:textId="080FC770"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66615B3E"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5A65B117" w14:textId="77777777" w:rsidR="004775D9" w:rsidRDefault="004775D9" w:rsidP="007D1E76">
      <w:pPr>
        <w:spacing w:after="0" w:line="240" w:lineRule="auto"/>
        <w:jc w:val="both"/>
        <w:rPr>
          <w:rFonts w:ascii="Arial" w:hAnsi="Arial" w:cs="Arial"/>
          <w:b/>
          <w:sz w:val="20"/>
          <w:szCs w:val="20"/>
        </w:rPr>
      </w:pPr>
    </w:p>
    <w:p w14:paraId="0A47A9AF" w14:textId="77777777" w:rsidR="004775D9" w:rsidRDefault="004775D9" w:rsidP="007D1E76">
      <w:pPr>
        <w:spacing w:after="0" w:line="240" w:lineRule="auto"/>
        <w:jc w:val="both"/>
        <w:rPr>
          <w:rFonts w:ascii="Arial" w:hAnsi="Arial" w:cs="Arial"/>
          <w:b/>
          <w:sz w:val="20"/>
          <w:szCs w:val="20"/>
        </w:rPr>
      </w:pPr>
    </w:p>
    <w:p w14:paraId="7A454862" w14:textId="77777777" w:rsidR="004775D9" w:rsidRDefault="004775D9" w:rsidP="007D1E76">
      <w:pPr>
        <w:spacing w:after="0" w:line="240" w:lineRule="auto"/>
        <w:jc w:val="both"/>
        <w:rPr>
          <w:rFonts w:ascii="Arial" w:hAnsi="Arial" w:cs="Arial"/>
          <w:b/>
          <w:sz w:val="20"/>
          <w:szCs w:val="20"/>
        </w:rPr>
      </w:pPr>
    </w:p>
    <w:p w14:paraId="4EF6BF14" w14:textId="77777777" w:rsidR="004775D9" w:rsidRDefault="004775D9" w:rsidP="007D1E76">
      <w:pPr>
        <w:spacing w:after="0" w:line="240" w:lineRule="auto"/>
        <w:jc w:val="both"/>
        <w:rPr>
          <w:rFonts w:ascii="Arial" w:hAnsi="Arial" w:cs="Arial"/>
          <w:b/>
          <w:sz w:val="20"/>
          <w:szCs w:val="20"/>
        </w:rPr>
      </w:pPr>
    </w:p>
    <w:p w14:paraId="6B0D3642" w14:textId="77777777" w:rsidR="004775D9" w:rsidRDefault="004775D9" w:rsidP="007D1E76">
      <w:pPr>
        <w:spacing w:after="0" w:line="240" w:lineRule="auto"/>
        <w:jc w:val="both"/>
        <w:rPr>
          <w:rFonts w:ascii="Arial" w:hAnsi="Arial" w:cs="Arial"/>
          <w:b/>
          <w:sz w:val="20"/>
          <w:szCs w:val="20"/>
        </w:rPr>
      </w:pPr>
    </w:p>
    <w:p w14:paraId="74E77391" w14:textId="77777777" w:rsidR="004775D9" w:rsidRDefault="004775D9" w:rsidP="007D1E76">
      <w:pPr>
        <w:spacing w:after="0" w:line="240" w:lineRule="auto"/>
        <w:jc w:val="both"/>
        <w:rPr>
          <w:rFonts w:ascii="Arial" w:hAnsi="Arial" w:cs="Arial"/>
          <w:b/>
          <w:sz w:val="20"/>
          <w:szCs w:val="20"/>
        </w:rPr>
      </w:pPr>
    </w:p>
    <w:p w14:paraId="6E496999" w14:textId="77777777" w:rsidR="004775D9" w:rsidRDefault="004775D9" w:rsidP="007D1E76">
      <w:pPr>
        <w:spacing w:after="0" w:line="240" w:lineRule="auto"/>
        <w:jc w:val="both"/>
        <w:rPr>
          <w:rFonts w:ascii="Arial" w:hAnsi="Arial" w:cs="Arial"/>
          <w:b/>
          <w:sz w:val="20"/>
          <w:szCs w:val="20"/>
        </w:rPr>
      </w:pPr>
    </w:p>
    <w:p w14:paraId="11651064" w14:textId="77777777" w:rsidR="004775D9" w:rsidRDefault="004775D9" w:rsidP="007D1E76">
      <w:pPr>
        <w:spacing w:after="0" w:line="240" w:lineRule="auto"/>
        <w:jc w:val="both"/>
        <w:rPr>
          <w:rFonts w:ascii="Arial" w:hAnsi="Arial" w:cs="Arial"/>
          <w:b/>
          <w:sz w:val="20"/>
          <w:szCs w:val="20"/>
        </w:rPr>
      </w:pPr>
    </w:p>
    <w:p w14:paraId="6D327EE7" w14:textId="77777777" w:rsidR="004775D9" w:rsidRDefault="004775D9" w:rsidP="007D1E76">
      <w:pPr>
        <w:spacing w:after="0" w:line="240" w:lineRule="auto"/>
        <w:jc w:val="both"/>
        <w:rPr>
          <w:rFonts w:ascii="Arial" w:hAnsi="Arial" w:cs="Arial"/>
          <w:b/>
          <w:sz w:val="20"/>
          <w:szCs w:val="20"/>
        </w:rPr>
      </w:pPr>
    </w:p>
    <w:p w14:paraId="453B550F" w14:textId="77777777" w:rsidR="004775D9" w:rsidRDefault="004775D9" w:rsidP="007D1E76">
      <w:pPr>
        <w:spacing w:after="0" w:line="240" w:lineRule="auto"/>
        <w:jc w:val="both"/>
        <w:rPr>
          <w:rFonts w:ascii="Arial" w:hAnsi="Arial" w:cs="Arial"/>
          <w:b/>
          <w:sz w:val="20"/>
          <w:szCs w:val="20"/>
        </w:rPr>
      </w:pPr>
    </w:p>
    <w:p w14:paraId="103B0515" w14:textId="77777777" w:rsidR="004775D9" w:rsidRDefault="004775D9" w:rsidP="007D1E76">
      <w:pPr>
        <w:spacing w:after="0" w:line="240" w:lineRule="auto"/>
        <w:jc w:val="both"/>
        <w:rPr>
          <w:rFonts w:ascii="Arial" w:hAnsi="Arial" w:cs="Arial"/>
          <w:b/>
          <w:sz w:val="20"/>
          <w:szCs w:val="20"/>
        </w:rPr>
      </w:pPr>
    </w:p>
    <w:p w14:paraId="433EA7EF" w14:textId="77777777" w:rsidR="004775D9" w:rsidRDefault="004775D9" w:rsidP="007D1E76">
      <w:pPr>
        <w:spacing w:after="0" w:line="240" w:lineRule="auto"/>
        <w:jc w:val="both"/>
        <w:rPr>
          <w:rFonts w:ascii="Arial" w:hAnsi="Arial" w:cs="Arial"/>
          <w:b/>
          <w:sz w:val="20"/>
          <w:szCs w:val="20"/>
        </w:rPr>
      </w:pPr>
    </w:p>
    <w:p w14:paraId="55BD433B" w14:textId="77777777" w:rsidR="004775D9" w:rsidRDefault="004775D9" w:rsidP="007D1E76">
      <w:pPr>
        <w:spacing w:after="0" w:line="240" w:lineRule="auto"/>
        <w:jc w:val="both"/>
        <w:rPr>
          <w:rFonts w:ascii="Arial" w:hAnsi="Arial" w:cs="Arial"/>
          <w:b/>
          <w:sz w:val="20"/>
          <w:szCs w:val="20"/>
        </w:rPr>
      </w:pPr>
    </w:p>
    <w:p w14:paraId="58C90C3E" w14:textId="77777777" w:rsidR="004775D9" w:rsidRDefault="004775D9" w:rsidP="007D1E76">
      <w:pPr>
        <w:spacing w:after="0" w:line="240" w:lineRule="auto"/>
        <w:jc w:val="both"/>
        <w:rPr>
          <w:rFonts w:ascii="Arial" w:hAnsi="Arial" w:cs="Arial"/>
          <w:b/>
          <w:sz w:val="20"/>
          <w:szCs w:val="20"/>
        </w:rPr>
      </w:pPr>
    </w:p>
    <w:p w14:paraId="6EB77A6D"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67C62037" w14:textId="77777777" w:rsidR="00951549" w:rsidRDefault="00951549" w:rsidP="007D1E76">
      <w:pPr>
        <w:spacing w:after="0" w:line="240" w:lineRule="auto"/>
        <w:jc w:val="both"/>
        <w:rPr>
          <w:rFonts w:ascii="Arial" w:hAnsi="Arial" w:cs="Arial"/>
          <w:sz w:val="20"/>
          <w:szCs w:val="20"/>
        </w:rPr>
      </w:pPr>
    </w:p>
    <w:p w14:paraId="5B85D43B" w14:textId="77777777" w:rsidR="00391954" w:rsidRDefault="00391954" w:rsidP="007D1E76">
      <w:pPr>
        <w:spacing w:after="0" w:line="240" w:lineRule="auto"/>
        <w:jc w:val="both"/>
        <w:rPr>
          <w:rFonts w:ascii="Arial" w:hAnsi="Arial" w:cs="Arial"/>
          <w:sz w:val="20"/>
          <w:szCs w:val="20"/>
        </w:rPr>
      </w:pPr>
    </w:p>
    <w:p w14:paraId="36CECF20" w14:textId="77777777" w:rsidR="00951549" w:rsidRDefault="00951549" w:rsidP="007D1E76">
      <w:pPr>
        <w:spacing w:after="0" w:line="240" w:lineRule="auto"/>
        <w:jc w:val="both"/>
        <w:rPr>
          <w:rFonts w:ascii="Arial" w:hAnsi="Arial" w:cs="Arial"/>
          <w:sz w:val="20"/>
          <w:szCs w:val="20"/>
        </w:rPr>
      </w:pPr>
    </w:p>
    <w:p w14:paraId="3450C629" w14:textId="77777777" w:rsidR="007D1E76" w:rsidRPr="00D501AD" w:rsidRDefault="007D1E76" w:rsidP="007D1E76">
      <w:pPr>
        <w:spacing w:after="0" w:line="240" w:lineRule="auto"/>
        <w:jc w:val="both"/>
        <w:rPr>
          <w:rFonts w:ascii="Arial" w:hAnsi="Arial" w:cs="Arial"/>
          <w:sz w:val="20"/>
          <w:szCs w:val="20"/>
        </w:rPr>
      </w:pPr>
    </w:p>
    <w:p w14:paraId="3B65610E" w14:textId="6940BE5D" w:rsidR="002C4ED6" w:rsidRPr="00D501AD" w:rsidRDefault="00951549" w:rsidP="00391954">
      <w:pPr>
        <w:spacing w:after="0" w:line="240" w:lineRule="auto"/>
        <w:ind w:hanging="567"/>
        <w:jc w:val="both"/>
        <w:rPr>
          <w:rFonts w:ascii="Arial" w:hAnsi="Arial" w:cs="Arial"/>
          <w:sz w:val="20"/>
          <w:szCs w:val="20"/>
        </w:rPr>
      </w:pPr>
      <w:r>
        <w:rPr>
          <w:rFonts w:ascii="Arial" w:hAnsi="Arial" w:cs="Arial"/>
          <w:noProof/>
          <w:sz w:val="20"/>
          <w:szCs w:val="20"/>
          <w:lang w:eastAsia="es-MX"/>
        </w:rPr>
        <w:drawing>
          <wp:inline distT="0" distB="0" distL="0" distR="0" wp14:anchorId="6613D0F6" wp14:editId="3DD77F45">
            <wp:extent cx="7152385" cy="39438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4859" cy="3945211"/>
                    </a:xfrm>
                    <a:prstGeom prst="rect">
                      <a:avLst/>
                    </a:prstGeom>
                    <a:noFill/>
                    <a:ln>
                      <a:noFill/>
                    </a:ln>
                  </pic:spPr>
                </pic:pic>
              </a:graphicData>
            </a:graphic>
          </wp:inline>
        </w:drawing>
      </w:r>
    </w:p>
    <w:p w14:paraId="02ACE94A" w14:textId="77777777" w:rsidR="002C4ED6" w:rsidRPr="00D501AD" w:rsidRDefault="002C4ED6" w:rsidP="007D1E76">
      <w:pPr>
        <w:spacing w:after="0" w:line="240" w:lineRule="auto"/>
        <w:jc w:val="both"/>
        <w:rPr>
          <w:rFonts w:ascii="Arial" w:hAnsi="Arial" w:cs="Arial"/>
          <w:sz w:val="20"/>
          <w:szCs w:val="20"/>
        </w:rPr>
      </w:pPr>
    </w:p>
    <w:p w14:paraId="19CEE14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2FC423C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29C48BB"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3B487EA9"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Pr="00D501AD"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27CA4D67" w14:textId="77777777" w:rsidR="00D92383" w:rsidRPr="00D501AD" w:rsidRDefault="00D92383" w:rsidP="00C53996">
      <w:pPr>
        <w:spacing w:after="0" w:line="240" w:lineRule="auto"/>
        <w:jc w:val="both"/>
        <w:rPr>
          <w:rFonts w:ascii="Arial" w:hAnsi="Arial" w:cs="Arial"/>
          <w:sz w:val="20"/>
          <w:szCs w:val="20"/>
        </w:rPr>
      </w:pPr>
    </w:p>
    <w:p w14:paraId="004A4D32" w14:textId="77777777" w:rsidR="007D1E76" w:rsidRPr="00D501AD" w:rsidRDefault="007D1E76" w:rsidP="007D1E7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73819382" w14:textId="77777777" w:rsidR="00C53996" w:rsidRPr="00D501AD" w:rsidRDefault="00C53996" w:rsidP="00C53996">
      <w:pPr>
        <w:spacing w:after="0" w:line="240" w:lineRule="auto"/>
        <w:jc w:val="both"/>
        <w:rPr>
          <w:rFonts w:ascii="Arial" w:hAnsi="Arial" w:cs="Arial"/>
          <w:sz w:val="20"/>
          <w:szCs w:val="20"/>
        </w:rPr>
      </w:pP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46CAEC1" w14:textId="77777777" w:rsidR="007D1E76" w:rsidRPr="00D501AD" w:rsidRDefault="007D1E76" w:rsidP="007D1E76">
      <w:pPr>
        <w:spacing w:after="0" w:line="240" w:lineRule="auto"/>
        <w:jc w:val="both"/>
        <w:rPr>
          <w:rFonts w:ascii="Arial" w:hAnsi="Arial" w:cs="Arial"/>
          <w:sz w:val="20"/>
          <w:szCs w:val="20"/>
        </w:rPr>
      </w:pP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2CB5DD74" w:rsidR="00284FB5" w:rsidRPr="00D501AD" w:rsidRDefault="00E312C7" w:rsidP="00284FB5">
      <w:pPr>
        <w:jc w:val="both"/>
        <w:rPr>
          <w:rFonts w:ascii="Arial" w:hAnsi="Arial" w:cs="Arial"/>
          <w:sz w:val="20"/>
          <w:szCs w:val="20"/>
        </w:rPr>
      </w:pPr>
      <w:r>
        <w:rPr>
          <w:rFonts w:ascii="Arial" w:hAnsi="Arial" w:cs="Arial"/>
          <w:sz w:val="20"/>
          <w:szCs w:val="20"/>
        </w:rPr>
        <w:t>La depreciación en el año 2021</w:t>
      </w:r>
      <w:r w:rsidR="00284FB5" w:rsidRPr="00D501AD">
        <w:rPr>
          <w:rFonts w:ascii="Arial" w:hAnsi="Arial" w:cs="Arial"/>
          <w:sz w:val="20"/>
          <w:szCs w:val="20"/>
        </w:rPr>
        <w:t xml:space="preserve"> se realizara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1708323A" w14:textId="77777777" w:rsidR="00D92383" w:rsidRPr="00D501AD" w:rsidRDefault="00D92383" w:rsidP="00367B6D">
      <w:pPr>
        <w:jc w:val="both"/>
        <w:rPr>
          <w:rFonts w:ascii="Arial" w:hAnsi="Arial" w:cs="Arial"/>
          <w:sz w:val="20"/>
          <w:szCs w:val="20"/>
        </w:rPr>
      </w:pP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26C225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409B1D78" w14:textId="77777777" w:rsidR="007D1E76" w:rsidRPr="00D501AD" w:rsidRDefault="007D1E76" w:rsidP="007D1E76">
      <w:pPr>
        <w:spacing w:after="0" w:line="240" w:lineRule="auto"/>
        <w:jc w:val="both"/>
        <w:rPr>
          <w:rFonts w:ascii="Arial" w:hAnsi="Arial" w:cs="Arial"/>
          <w:sz w:val="20"/>
          <w:szCs w:val="20"/>
        </w:rPr>
      </w:pPr>
    </w:p>
    <w:p w14:paraId="0E2CED70" w14:textId="77777777" w:rsidR="004775D9" w:rsidRDefault="004775D9" w:rsidP="007D1E76">
      <w:pPr>
        <w:spacing w:after="0" w:line="240" w:lineRule="auto"/>
        <w:jc w:val="both"/>
        <w:rPr>
          <w:rFonts w:ascii="Arial" w:hAnsi="Arial" w:cs="Arial"/>
          <w:b/>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lastRenderedPageBreak/>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E312C7"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E312C7">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E312C7">
        <w:rPr>
          <w:rFonts w:ascii="Arial" w:eastAsia="Times New Roman" w:hAnsi="Arial" w:cs="Arial"/>
          <w:color w:val="0A0A0A"/>
          <w:sz w:val="20"/>
          <w:szCs w:val="20"/>
          <w:bdr w:val="none" w:sz="0" w:space="0" w:color="auto" w:frame="1"/>
          <w:lang w:eastAsia="es-MX"/>
        </w:rPr>
        <w:t>Justicia Administrativa</w:t>
      </w:r>
      <w:r w:rsidRPr="00E312C7">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B6FCF" w:rsidRDefault="007B6FCF" w:rsidP="007B6FCF">
      <w:pPr>
        <w:numPr>
          <w:ilvl w:val="0"/>
          <w:numId w:val="2"/>
        </w:numPr>
        <w:shd w:val="clear" w:color="auto" w:fill="FFFFFF"/>
        <w:spacing w:after="0" w:line="240" w:lineRule="auto"/>
        <w:textAlignment w:val="baseline"/>
        <w:rPr>
          <w:rFonts w:ascii="Segoe UI" w:eastAsia="Times New Roman" w:hAnsi="Segoe UI" w:cs="Segoe UI"/>
          <w:color w:val="0A0A0A"/>
          <w:sz w:val="21"/>
          <w:szCs w:val="21"/>
          <w:lang w:eastAsia="es-MX"/>
        </w:rPr>
      </w:pPr>
      <w:r w:rsidRPr="007B6FCF">
        <w:rPr>
          <w:rFonts w:ascii="Open Sans" w:eastAsia="Times New Roman" w:hAnsi="Open Sans" w:cs="Segoe UI"/>
          <w:color w:val="0A0A0A"/>
          <w:sz w:val="21"/>
          <w:szCs w:val="21"/>
          <w:bdr w:val="none" w:sz="0" w:space="0" w:color="auto" w:frame="1"/>
          <w:lang w:eastAsia="es-MX"/>
        </w:rPr>
        <w:t>Reglamento Interior del Tribunal de Justicia Administrativa del Estado de Guanajuato.</w:t>
      </w:r>
    </w:p>
    <w:p w14:paraId="15D93BD9" w14:textId="77777777" w:rsidR="002277EF" w:rsidRPr="002277EF" w:rsidRDefault="002277EF" w:rsidP="002277EF">
      <w:pPr>
        <w:numPr>
          <w:ilvl w:val="0"/>
          <w:numId w:val="2"/>
        </w:numPr>
        <w:shd w:val="clear" w:color="auto" w:fill="FFFFFF"/>
        <w:spacing w:after="0" w:line="240" w:lineRule="auto"/>
        <w:jc w:val="both"/>
        <w:textAlignment w:val="baseline"/>
        <w:rPr>
          <w:rFonts w:ascii="Segoe UI" w:eastAsia="Times New Roman" w:hAnsi="Segoe UI" w:cs="Segoe UI"/>
          <w:color w:val="0A0A0A"/>
          <w:sz w:val="21"/>
          <w:szCs w:val="21"/>
          <w:lang w:eastAsia="es-MX"/>
        </w:rPr>
      </w:pPr>
      <w:r w:rsidRPr="002277EF">
        <w:rPr>
          <w:rFonts w:ascii="Open Sans" w:eastAsia="Times New Roman" w:hAnsi="Open Sans" w:cs="Segoe UI"/>
          <w:color w:val="0A0A0A"/>
          <w:sz w:val="21"/>
          <w:szCs w:val="21"/>
          <w:bdr w:val="none" w:sz="0" w:space="0" w:color="auto" w:frame="1"/>
          <w:lang w:eastAsia="es-MX"/>
        </w:rPr>
        <w:t>Política General de Contrataciones Públicas para el Tribunal de Justicia Administrativa.</w:t>
      </w:r>
    </w:p>
    <w:p w14:paraId="7F5A248E" w14:textId="77777777" w:rsidR="002277EF" w:rsidRPr="002277EF" w:rsidRDefault="002277EF" w:rsidP="002277EF">
      <w:pPr>
        <w:numPr>
          <w:ilvl w:val="0"/>
          <w:numId w:val="2"/>
        </w:numPr>
        <w:shd w:val="clear" w:color="auto" w:fill="FFFFFF"/>
        <w:spacing w:after="0" w:line="240" w:lineRule="auto"/>
        <w:jc w:val="both"/>
        <w:textAlignment w:val="baseline"/>
        <w:rPr>
          <w:rFonts w:ascii="Segoe UI" w:eastAsia="Times New Roman" w:hAnsi="Segoe UI" w:cs="Segoe UI"/>
          <w:color w:val="0A0A0A"/>
          <w:sz w:val="21"/>
          <w:szCs w:val="21"/>
          <w:lang w:eastAsia="es-MX"/>
        </w:rPr>
      </w:pPr>
      <w:r w:rsidRPr="002277EF">
        <w:rPr>
          <w:rFonts w:ascii="Open Sans" w:eastAsia="Times New Roman" w:hAnsi="Open Sans" w:cs="Segoe UI"/>
          <w:color w:val="0A0A0A"/>
          <w:sz w:val="21"/>
          <w:szCs w:val="21"/>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4BE52110" w:rsidR="002277EF" w:rsidRPr="002277EF" w:rsidRDefault="002277EF" w:rsidP="002277EF">
      <w:pPr>
        <w:numPr>
          <w:ilvl w:val="0"/>
          <w:numId w:val="2"/>
        </w:numPr>
        <w:shd w:val="clear" w:color="auto" w:fill="FFFFFF"/>
        <w:spacing w:after="0" w:line="240" w:lineRule="auto"/>
        <w:jc w:val="both"/>
        <w:textAlignment w:val="baseline"/>
        <w:rPr>
          <w:rFonts w:ascii="Segoe UI" w:eastAsia="Times New Roman" w:hAnsi="Segoe UI" w:cs="Segoe UI"/>
          <w:color w:val="0A0A0A"/>
          <w:sz w:val="21"/>
          <w:szCs w:val="21"/>
          <w:lang w:eastAsia="es-MX"/>
        </w:rPr>
      </w:pPr>
      <w:r w:rsidRPr="002277EF">
        <w:rPr>
          <w:rFonts w:ascii="Open Sans" w:eastAsia="Times New Roman" w:hAnsi="Open Sans" w:cs="Segoe UI"/>
          <w:color w:val="0A0A0A"/>
          <w:sz w:val="21"/>
          <w:szCs w:val="21"/>
          <w:bdr w:val="none" w:sz="0" w:space="0" w:color="auto" w:frame="1"/>
          <w:lang w:eastAsia="es-MX"/>
        </w:rPr>
        <w:t>Lineamientos del Sistema de Evaluación al Desempeño Institucional del Tribunal de Justicia Administrativa del Estado de Guanajuato para el Ejercicio Fiscal 2021.</w:t>
      </w:r>
    </w:p>
    <w:p w14:paraId="45AE8780" w14:textId="002A6B36" w:rsidR="00D97E86" w:rsidRPr="00D501AD" w:rsidRDefault="00D97E86" w:rsidP="00D97E86">
      <w:pPr>
        <w:jc w:val="both"/>
        <w:rPr>
          <w:rFonts w:ascii="Arial" w:hAnsi="Arial" w:cs="Arial"/>
          <w:sz w:val="20"/>
          <w:szCs w:val="20"/>
        </w:rPr>
      </w:pP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1C1B13BA"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501AD">
        <w:rPr>
          <w:rFonts w:ascii="Arial" w:hAnsi="Arial" w:cs="Arial"/>
          <w:sz w:val="20"/>
          <w:szCs w:val="20"/>
        </w:rPr>
        <w:t>cían a la fecha de cierre.</w:t>
      </w:r>
      <w:r w:rsidR="005E231E" w:rsidRPr="00D501AD">
        <w:rPr>
          <w:rFonts w:ascii="Arial" w:hAnsi="Arial" w:cs="Arial"/>
          <w:sz w:val="20"/>
          <w:szCs w:val="20"/>
        </w:rPr>
        <w:cr/>
      </w:r>
    </w:p>
    <w:p w14:paraId="7228B5B0" w14:textId="77777777" w:rsidR="00A11DB9" w:rsidRPr="00D501AD" w:rsidRDefault="00A11DB9" w:rsidP="00A11DB9">
      <w:pPr>
        <w:spacing w:after="0" w:line="240" w:lineRule="auto"/>
        <w:jc w:val="both"/>
        <w:rPr>
          <w:rFonts w:ascii="Arial" w:hAnsi="Arial" w:cs="Arial"/>
          <w:sz w:val="20"/>
          <w:szCs w:val="20"/>
        </w:rPr>
      </w:pPr>
      <w:r w:rsidRPr="00D501AD">
        <w:rPr>
          <w:rFonts w:ascii="Arial" w:hAnsi="Arial" w:cs="Arial"/>
          <w:sz w:val="20"/>
          <w:szCs w:val="20"/>
        </w:rPr>
        <w:t>Se va a comenzar a hacer un ejercicio de depuración de activos.</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06707DA2"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6C95CCB" w14:textId="77777777" w:rsidR="00B60E68" w:rsidRDefault="00B60E68" w:rsidP="00B60E68">
            <w:pPr>
              <w:spacing w:after="0" w:line="240" w:lineRule="auto"/>
              <w:jc w:val="both"/>
              <w:rPr>
                <w:rFonts w:ascii="Arial" w:eastAsia="Times New Roman" w:hAnsi="Arial" w:cs="Arial"/>
                <w:sz w:val="20"/>
                <w:szCs w:val="20"/>
                <w:lang w:eastAsia="es-MX"/>
              </w:rPr>
            </w:pPr>
          </w:p>
          <w:p w14:paraId="45F989B9" w14:textId="77777777" w:rsidR="00B60E68" w:rsidRDefault="00B60E68" w:rsidP="00B60E68">
            <w:pPr>
              <w:spacing w:after="0" w:line="240" w:lineRule="auto"/>
              <w:jc w:val="both"/>
              <w:rPr>
                <w:rFonts w:ascii="Arial" w:eastAsia="Times New Roman" w:hAnsi="Arial" w:cs="Arial"/>
                <w:sz w:val="20"/>
                <w:szCs w:val="20"/>
                <w:lang w:eastAsia="es-MX"/>
              </w:rPr>
            </w:pPr>
          </w:p>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0F496803" w14:textId="77777777" w:rsidTr="004775D9">
        <w:trPr>
          <w:trHeight w:val="225"/>
        </w:trPr>
        <w:tc>
          <w:tcPr>
            <w:tcW w:w="4596" w:type="dxa"/>
            <w:tcBorders>
              <w:top w:val="nil"/>
              <w:left w:val="nil"/>
              <w:bottom w:val="nil"/>
              <w:right w:val="nil"/>
            </w:tcBorders>
            <w:shd w:val="clear" w:color="auto" w:fill="auto"/>
            <w:hideMark/>
          </w:tcPr>
          <w:p w14:paraId="1494AB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716" w:type="dxa"/>
            <w:tcBorders>
              <w:top w:val="nil"/>
              <w:left w:val="nil"/>
              <w:bottom w:val="nil"/>
              <w:right w:val="nil"/>
            </w:tcBorders>
            <w:shd w:val="clear" w:color="auto" w:fill="auto"/>
            <w:hideMark/>
          </w:tcPr>
          <w:p w14:paraId="268407B9"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3228FCDB"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9791D52"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6666C2BB"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083249EF" w14:textId="77777777" w:rsidTr="004775D9">
        <w:trPr>
          <w:trHeight w:val="300"/>
        </w:trPr>
        <w:tc>
          <w:tcPr>
            <w:tcW w:w="4596" w:type="dxa"/>
            <w:tcBorders>
              <w:top w:val="nil"/>
              <w:left w:val="nil"/>
              <w:bottom w:val="nil"/>
              <w:right w:val="nil"/>
            </w:tcBorders>
            <w:shd w:val="clear" w:color="auto" w:fill="auto"/>
            <w:hideMark/>
          </w:tcPr>
          <w:p w14:paraId="0E27FA08"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716" w:type="dxa"/>
            <w:tcBorders>
              <w:top w:val="nil"/>
              <w:left w:val="nil"/>
              <w:bottom w:val="nil"/>
              <w:right w:val="nil"/>
            </w:tcBorders>
            <w:shd w:val="clear" w:color="auto" w:fill="auto"/>
            <w:hideMark/>
          </w:tcPr>
          <w:p w14:paraId="2EAFCE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99432F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35751B75"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68AB2188"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7D1E76">
      <w:pPr>
        <w:pBdr>
          <w:bottom w:val="single" w:sz="12" w:space="1" w:color="auto"/>
        </w:pBdr>
        <w:spacing w:after="0" w:line="240" w:lineRule="auto"/>
        <w:jc w:val="both"/>
        <w:rPr>
          <w:rFonts w:ascii="Arial" w:hAnsi="Arial" w:cs="Arial"/>
          <w:sz w:val="20"/>
          <w:szCs w:val="20"/>
        </w:rPr>
      </w:pPr>
    </w:p>
    <w:sectPr w:rsidR="00AE1F6A" w:rsidRPr="00D501AD" w:rsidSect="00623AE4">
      <w:headerReference w:type="default" r:id="rId12"/>
      <w:pgSz w:w="12240" w:h="15840" w:code="1"/>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DC87F" w14:textId="77777777" w:rsidR="000F33AF" w:rsidRDefault="000F33AF" w:rsidP="00E00323">
      <w:pPr>
        <w:spacing w:after="0" w:line="240" w:lineRule="auto"/>
      </w:pPr>
      <w:r>
        <w:separator/>
      </w:r>
    </w:p>
  </w:endnote>
  <w:endnote w:type="continuationSeparator" w:id="0">
    <w:p w14:paraId="7B8F6CC9" w14:textId="77777777" w:rsidR="000F33AF" w:rsidRDefault="000F33A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0FD83" w14:textId="77777777" w:rsidR="000F33AF" w:rsidRDefault="000F33AF" w:rsidP="00E00323">
      <w:pPr>
        <w:spacing w:after="0" w:line="240" w:lineRule="auto"/>
      </w:pPr>
      <w:r>
        <w:separator/>
      </w:r>
    </w:p>
  </w:footnote>
  <w:footnote w:type="continuationSeparator" w:id="0">
    <w:p w14:paraId="20F4AEF9" w14:textId="77777777" w:rsidR="000F33AF" w:rsidRDefault="000F33A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9"/>
  </w:num>
  <w:num w:numId="5">
    <w:abstractNumId w:val="2"/>
  </w:num>
  <w:num w:numId="6">
    <w:abstractNumId w:val="3"/>
  </w:num>
  <w:num w:numId="7">
    <w:abstractNumId w:val="8"/>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91CE6"/>
    <w:rsid w:val="000A07AD"/>
    <w:rsid w:val="000B61C7"/>
    <w:rsid w:val="000B7810"/>
    <w:rsid w:val="000F08DC"/>
    <w:rsid w:val="000F33AF"/>
    <w:rsid w:val="001023AE"/>
    <w:rsid w:val="00127BAB"/>
    <w:rsid w:val="00144572"/>
    <w:rsid w:val="00154BA3"/>
    <w:rsid w:val="001564AC"/>
    <w:rsid w:val="00174F67"/>
    <w:rsid w:val="001973A2"/>
    <w:rsid w:val="001C75F2"/>
    <w:rsid w:val="001D2063"/>
    <w:rsid w:val="002277EF"/>
    <w:rsid w:val="00257C2C"/>
    <w:rsid w:val="00284FB5"/>
    <w:rsid w:val="002C4ED6"/>
    <w:rsid w:val="003077E1"/>
    <w:rsid w:val="00345BAF"/>
    <w:rsid w:val="00354B23"/>
    <w:rsid w:val="00360A4F"/>
    <w:rsid w:val="00367B6D"/>
    <w:rsid w:val="00391954"/>
    <w:rsid w:val="003D3D47"/>
    <w:rsid w:val="003F3441"/>
    <w:rsid w:val="00435A87"/>
    <w:rsid w:val="0045352B"/>
    <w:rsid w:val="004775D9"/>
    <w:rsid w:val="004A58C8"/>
    <w:rsid w:val="004C6856"/>
    <w:rsid w:val="005014A2"/>
    <w:rsid w:val="00564EDB"/>
    <w:rsid w:val="005D3E43"/>
    <w:rsid w:val="005E231E"/>
    <w:rsid w:val="0060338A"/>
    <w:rsid w:val="00620E89"/>
    <w:rsid w:val="00623AE4"/>
    <w:rsid w:val="006344E9"/>
    <w:rsid w:val="00647A71"/>
    <w:rsid w:val="00657009"/>
    <w:rsid w:val="006627F0"/>
    <w:rsid w:val="00666B16"/>
    <w:rsid w:val="00671A72"/>
    <w:rsid w:val="00681C79"/>
    <w:rsid w:val="006A5E04"/>
    <w:rsid w:val="006B7891"/>
    <w:rsid w:val="00736D5E"/>
    <w:rsid w:val="007610BC"/>
    <w:rsid w:val="007714AB"/>
    <w:rsid w:val="007A056B"/>
    <w:rsid w:val="007A14F0"/>
    <w:rsid w:val="007B6FCF"/>
    <w:rsid w:val="007D1E76"/>
    <w:rsid w:val="007D64C4"/>
    <w:rsid w:val="007F2FA6"/>
    <w:rsid w:val="007F5911"/>
    <w:rsid w:val="00835EC9"/>
    <w:rsid w:val="0086459F"/>
    <w:rsid w:val="00876A36"/>
    <w:rsid w:val="00883BB8"/>
    <w:rsid w:val="008A1D7C"/>
    <w:rsid w:val="008C0610"/>
    <w:rsid w:val="008E076C"/>
    <w:rsid w:val="00920C16"/>
    <w:rsid w:val="00951549"/>
    <w:rsid w:val="009B2C3D"/>
    <w:rsid w:val="009D3EAB"/>
    <w:rsid w:val="00A11DB9"/>
    <w:rsid w:val="00A26544"/>
    <w:rsid w:val="00AA41E5"/>
    <w:rsid w:val="00AC5EA9"/>
    <w:rsid w:val="00AD6A0D"/>
    <w:rsid w:val="00AE1A12"/>
    <w:rsid w:val="00AE1F6A"/>
    <w:rsid w:val="00B32F9A"/>
    <w:rsid w:val="00B5222B"/>
    <w:rsid w:val="00B60E68"/>
    <w:rsid w:val="00BB5B7E"/>
    <w:rsid w:val="00BD628E"/>
    <w:rsid w:val="00C53996"/>
    <w:rsid w:val="00C660FF"/>
    <w:rsid w:val="00C803F0"/>
    <w:rsid w:val="00CB47FE"/>
    <w:rsid w:val="00D13C44"/>
    <w:rsid w:val="00D32C6A"/>
    <w:rsid w:val="00D32EF7"/>
    <w:rsid w:val="00D4630A"/>
    <w:rsid w:val="00D501AD"/>
    <w:rsid w:val="00D56B7E"/>
    <w:rsid w:val="00D92383"/>
    <w:rsid w:val="00D975B1"/>
    <w:rsid w:val="00D97E86"/>
    <w:rsid w:val="00DF705F"/>
    <w:rsid w:val="00E00323"/>
    <w:rsid w:val="00E312C7"/>
    <w:rsid w:val="00E64D40"/>
    <w:rsid w:val="00E6571C"/>
    <w:rsid w:val="00E74967"/>
    <w:rsid w:val="00E94953"/>
    <w:rsid w:val="00EA7915"/>
    <w:rsid w:val="00ED5C81"/>
    <w:rsid w:val="00ED7CF6"/>
    <w:rsid w:val="00F4262E"/>
    <w:rsid w:val="00F511F8"/>
    <w:rsid w:val="00FC7DDF"/>
    <w:rsid w:val="00FE2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BD1E65EB-AFEF-4518-9E5E-DC0DC1CA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2850</Words>
  <Characters>15679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2</cp:revision>
  <cp:lastPrinted>2021-04-20T14:39:00Z</cp:lastPrinted>
  <dcterms:created xsi:type="dcterms:W3CDTF">2022-01-25T01:52:00Z</dcterms:created>
  <dcterms:modified xsi:type="dcterms:W3CDTF">2022-01-25T01:52:00Z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