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64" w:rsidRPr="00FE6C5A" w:rsidRDefault="00DC7D64" w:rsidP="00DC7D64">
      <w:pPr>
        <w:jc w:val="center"/>
        <w:rPr>
          <w:sz w:val="32"/>
        </w:rPr>
      </w:pPr>
      <w:bookmarkStart w:id="0" w:name="_GoBack"/>
      <w:bookmarkEnd w:id="0"/>
      <w:r w:rsidRPr="00FE6C5A">
        <w:rPr>
          <w:sz w:val="32"/>
        </w:rPr>
        <w:t>Tribunal de Justicia Administrativa del Estado de Guanajuato</w:t>
      </w:r>
    </w:p>
    <w:p w:rsidR="00DC7D64" w:rsidRPr="00FE6C5A" w:rsidRDefault="00DC7D64" w:rsidP="00DC7D64">
      <w:pPr>
        <w:jc w:val="center"/>
        <w:rPr>
          <w:sz w:val="28"/>
        </w:rPr>
      </w:pPr>
      <w:r w:rsidRPr="00FE6C5A">
        <w:rPr>
          <w:sz w:val="28"/>
        </w:rPr>
        <w:t>Formato 334. Resultado Evaluación Desempeño</w:t>
      </w:r>
    </w:p>
    <w:p w:rsidR="00DC7D64" w:rsidRPr="00FE6C5A" w:rsidRDefault="00DC7D64" w:rsidP="00FE6C5A">
      <w:pPr>
        <w:rPr>
          <w:sz w:val="32"/>
        </w:rPr>
      </w:pPr>
    </w:p>
    <w:p w:rsidR="004B3E69" w:rsidRPr="00FE6C5A" w:rsidRDefault="001513B0" w:rsidP="001513B0">
      <w:pPr>
        <w:jc w:val="both"/>
        <w:rPr>
          <w:sz w:val="24"/>
        </w:rPr>
      </w:pPr>
      <w:r w:rsidRPr="00FE6C5A">
        <w:rPr>
          <w:sz w:val="24"/>
        </w:rPr>
        <w:t>El Plan Estatal de Desarrollo Guanajuato 2040, construyendo el futuro, busca innovar e incorporar buenas prácticas que se utilizan en materia de gestión del desarrollo. La dimensión Administración pública y Estado de Derecho comprende los principales temas que rigen la actuación y el desempeño de la administración pública, así como el marco institucional que vela por el cumplimento de la seguridad, la convivencia armónica y la paz social, todos ellos elementos fundamentales del Estado de Derecho. Para el análisis de esta dimensión, la información se ha organizado en torno a dos grandes temas: gobernanza y seguridad y justicia.</w:t>
      </w:r>
      <w:r w:rsidR="004B3E69" w:rsidRPr="00FE6C5A">
        <w:rPr>
          <w:sz w:val="24"/>
        </w:rPr>
        <w:t xml:space="preserve"> </w:t>
      </w:r>
    </w:p>
    <w:p w:rsidR="004B3E69" w:rsidRPr="00FE6C5A" w:rsidRDefault="0014089D" w:rsidP="001513B0">
      <w:pPr>
        <w:jc w:val="both"/>
        <w:rPr>
          <w:sz w:val="24"/>
        </w:rPr>
      </w:pPr>
      <w:r w:rsidRPr="00FE6C5A">
        <w:rPr>
          <w:sz w:val="24"/>
        </w:rPr>
        <w:t xml:space="preserve">El Tribunal de Justicia Administrativa del Estado de Guanajuato se ubica en el tema de seguridad y justica, donde como </w:t>
      </w:r>
      <w:r w:rsidR="004647A1" w:rsidRPr="00FE6C5A">
        <w:rPr>
          <w:sz w:val="24"/>
        </w:rPr>
        <w:t xml:space="preserve">parte de la </w:t>
      </w:r>
      <w:r w:rsidRPr="00FE6C5A">
        <w:rPr>
          <w:sz w:val="24"/>
        </w:rPr>
        <w:t>línea estratégica</w:t>
      </w:r>
      <w:r w:rsidR="00DC7D64" w:rsidRPr="00FE6C5A">
        <w:rPr>
          <w:sz w:val="24"/>
        </w:rPr>
        <w:t xml:space="preserve"> se estableció</w:t>
      </w:r>
      <w:r w:rsidR="004B3E69" w:rsidRPr="00FE6C5A">
        <w:rPr>
          <w:sz w:val="24"/>
        </w:rPr>
        <w:t xml:space="preserve"> el objetivo </w:t>
      </w:r>
      <w:r w:rsidR="00DC7D64" w:rsidRPr="00FE6C5A">
        <w:rPr>
          <w:sz w:val="24"/>
        </w:rPr>
        <w:t xml:space="preserve">4.2.3. que versa sobre la necesidad de incrementar la efectividad de las instancias jurisdiccionales relacionadas con la justicia cotidiana, para la que se </w:t>
      </w:r>
      <w:r w:rsidRPr="00FE6C5A">
        <w:rPr>
          <w:sz w:val="24"/>
        </w:rPr>
        <w:t>diseñó</w:t>
      </w:r>
      <w:r w:rsidR="00DC7D64" w:rsidRPr="00FE6C5A">
        <w:rPr>
          <w:sz w:val="24"/>
        </w:rPr>
        <w:t xml:space="preserve"> la estrategia 4.2.3.9 referente al fortalecimiento de los tribunales en materia Administrativa y laboral, con el fin de garantizar la justicia en estos rubros.</w:t>
      </w:r>
    </w:p>
    <w:p w:rsidR="0014089D" w:rsidRDefault="00A94A36" w:rsidP="001513B0">
      <w:pPr>
        <w:jc w:val="both"/>
        <w:rPr>
          <w:sz w:val="24"/>
        </w:rPr>
      </w:pPr>
      <w:r w:rsidRPr="00FE6C5A">
        <w:rPr>
          <w:sz w:val="24"/>
        </w:rPr>
        <w:t>En esta sintonía, e</w:t>
      </w:r>
      <w:r w:rsidR="001F6005" w:rsidRPr="00FE6C5A">
        <w:rPr>
          <w:sz w:val="24"/>
        </w:rPr>
        <w:t>l programa presupuestario denominado E058. Tribunal de Justicia Administrativa del Estado de Guanajuato, para el ejercicio fiscal 2018</w:t>
      </w:r>
      <w:r w:rsidR="00836FE3" w:rsidRPr="00FE6C5A">
        <w:rPr>
          <w:sz w:val="24"/>
        </w:rPr>
        <w:t>,</w:t>
      </w:r>
      <w:r w:rsidRPr="00FE6C5A">
        <w:rPr>
          <w:sz w:val="24"/>
        </w:rPr>
        <w:t xml:space="preserve"> que incorpora</w:t>
      </w:r>
      <w:r w:rsidR="00836FE3" w:rsidRPr="00FE6C5A">
        <w:rPr>
          <w:sz w:val="24"/>
        </w:rPr>
        <w:t xml:space="preserve"> la  </w:t>
      </w:r>
      <w:r w:rsidRPr="00FE6C5A">
        <w:rPr>
          <w:sz w:val="24"/>
        </w:rPr>
        <w:t>Metodología de Marco Lógico, contiene</w:t>
      </w:r>
      <w:r w:rsidR="00836FE3" w:rsidRPr="00FE6C5A">
        <w:rPr>
          <w:sz w:val="24"/>
        </w:rPr>
        <w:t xml:space="preserve"> los siguientes indicadores:</w:t>
      </w:r>
    </w:p>
    <w:p w:rsidR="00FE6C5A" w:rsidRPr="00FE6C5A" w:rsidRDefault="00FE6C5A" w:rsidP="001513B0">
      <w:pPr>
        <w:jc w:val="both"/>
        <w:rPr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2"/>
        <w:gridCol w:w="2944"/>
        <w:gridCol w:w="1997"/>
        <w:gridCol w:w="1351"/>
      </w:tblGrid>
      <w:tr w:rsidR="00FD029C" w:rsidRPr="00FE6C5A" w:rsidTr="00FE6C5A">
        <w:trPr>
          <w:tblHeader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9C" w:rsidRPr="00A75F10" w:rsidRDefault="00FD029C" w:rsidP="00836FE3">
            <w:pPr>
              <w:spacing w:after="200" w:line="276" w:lineRule="auto"/>
              <w:jc w:val="center"/>
              <w:rPr>
                <w:rFonts w:cstheme="minorHAnsi"/>
                <w:b/>
                <w:sz w:val="18"/>
              </w:rPr>
            </w:pPr>
            <w:r w:rsidRPr="00A75F10">
              <w:rPr>
                <w:rFonts w:cstheme="minorHAnsi"/>
                <w:b/>
                <w:sz w:val="18"/>
              </w:rPr>
              <w:t>Indicador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9C" w:rsidRPr="00A75F10" w:rsidRDefault="00FD029C" w:rsidP="00836FE3">
            <w:pPr>
              <w:spacing w:after="200" w:line="276" w:lineRule="auto"/>
              <w:jc w:val="center"/>
              <w:rPr>
                <w:rFonts w:cstheme="minorHAnsi"/>
                <w:b/>
                <w:sz w:val="18"/>
              </w:rPr>
            </w:pPr>
            <w:r w:rsidRPr="00A75F10">
              <w:rPr>
                <w:rFonts w:cstheme="minorHAnsi"/>
                <w:b/>
                <w:sz w:val="18"/>
              </w:rPr>
              <w:t>Algoritmo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C" w:rsidRPr="00A75F10" w:rsidRDefault="00FD029C" w:rsidP="00836FE3">
            <w:pPr>
              <w:jc w:val="center"/>
              <w:rPr>
                <w:rFonts w:cstheme="minorHAnsi"/>
                <w:b/>
                <w:sz w:val="18"/>
              </w:rPr>
            </w:pPr>
            <w:r w:rsidRPr="00A75F10">
              <w:rPr>
                <w:rFonts w:cstheme="minorHAnsi"/>
                <w:b/>
                <w:sz w:val="18"/>
              </w:rPr>
              <w:t>Información Reportada por el área responsable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C" w:rsidRPr="00A75F10" w:rsidRDefault="00FD029C" w:rsidP="00836FE3">
            <w:pPr>
              <w:jc w:val="center"/>
              <w:rPr>
                <w:rFonts w:cstheme="minorHAnsi"/>
                <w:b/>
                <w:sz w:val="18"/>
              </w:rPr>
            </w:pPr>
            <w:r w:rsidRPr="00A75F10">
              <w:rPr>
                <w:rFonts w:cstheme="minorHAnsi"/>
                <w:b/>
                <w:sz w:val="18"/>
              </w:rPr>
              <w:t>Resultado del primer trimestre 2018</w:t>
            </w:r>
          </w:p>
        </w:tc>
      </w:tr>
      <w:tr w:rsidR="00032543" w:rsidRPr="00FE6C5A" w:rsidTr="00032543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3" w:rsidRPr="00FE6C5A" w:rsidRDefault="00032543" w:rsidP="00032543">
            <w:pPr>
              <w:jc w:val="center"/>
              <w:rPr>
                <w:rFonts w:cstheme="minorHAnsi"/>
                <w:sz w:val="18"/>
              </w:rPr>
            </w:pPr>
          </w:p>
          <w:p w:rsidR="00032543" w:rsidRPr="00FE6C5A" w:rsidRDefault="00032543" w:rsidP="00032543">
            <w:pPr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>Porcentaje de procesos concluidos en 2018 con respecto al número de demandas ingresadas en el año 2018</w:t>
            </w:r>
          </w:p>
          <w:p w:rsidR="00032543" w:rsidRPr="00FE6C5A" w:rsidRDefault="00032543" w:rsidP="0003254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3" w:rsidRPr="00FE6C5A" w:rsidRDefault="00032543" w:rsidP="00032543">
            <w:pPr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>= (Sumatoria de procesos concluidos en el año 2018/Sumatoria de demandas ingresadas en el mismo año 2018) *100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3" w:rsidRPr="00FE6C5A" w:rsidRDefault="00032543" w:rsidP="00032543">
            <w:pPr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>= (935procesos concluidos en el año 2018/804 demandas ingresadas en el mismo año 2018) *100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3" w:rsidRPr="00FE6C5A" w:rsidRDefault="00032543" w:rsidP="006B5261">
            <w:pPr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>116.29%</w:t>
            </w:r>
          </w:p>
        </w:tc>
      </w:tr>
      <w:tr w:rsidR="00FD029C" w:rsidRPr="00FE6C5A" w:rsidTr="006B5261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9C" w:rsidRPr="00FE6C5A" w:rsidRDefault="00FD029C" w:rsidP="006B5261">
            <w:pPr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 xml:space="preserve">Porcentaje de demandas y recursos radicados en el año 2018 con respecto al número de demandas y recursos presentados </w:t>
            </w:r>
            <w:r w:rsidRPr="00FE6C5A">
              <w:rPr>
                <w:rFonts w:cstheme="minorHAnsi"/>
                <w:sz w:val="18"/>
              </w:rPr>
              <w:lastRenderedPageBreak/>
              <w:t>ante el Tribunal de Justicia Administrativa del Estado de Guanajuato.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9C" w:rsidRPr="00FE6C5A" w:rsidRDefault="00FD029C" w:rsidP="006B5261">
            <w:pPr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lastRenderedPageBreak/>
              <w:t xml:space="preserve">=(Número de las demandas y recursos radicados en el Tribunal </w:t>
            </w:r>
            <w:r w:rsidR="00032543" w:rsidRPr="00FE6C5A">
              <w:rPr>
                <w:rFonts w:cstheme="minorHAnsi"/>
                <w:sz w:val="18"/>
              </w:rPr>
              <w:t>de Justicia Administrativa del Estado de Guanajuato</w:t>
            </w:r>
            <w:r w:rsidRPr="00FE6C5A">
              <w:rPr>
                <w:rFonts w:cstheme="minorHAnsi"/>
                <w:sz w:val="18"/>
              </w:rPr>
              <w:t xml:space="preserve"> en el año 2018/Número </w:t>
            </w:r>
            <w:r w:rsidRPr="00FE6C5A">
              <w:rPr>
                <w:rFonts w:cstheme="minorHAnsi"/>
                <w:sz w:val="18"/>
              </w:rPr>
              <w:lastRenderedPageBreak/>
              <w:t>total de las demandas y recursos presentados ante el Tribunal de Justicia Administrativa del Estado de Guanajuato en el año 2018)*100</w:t>
            </w:r>
          </w:p>
          <w:p w:rsidR="00FD029C" w:rsidRPr="00FE6C5A" w:rsidRDefault="00FD029C" w:rsidP="006B5261">
            <w:pPr>
              <w:spacing w:after="200"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3" w:rsidRPr="00FE6C5A" w:rsidRDefault="00032543" w:rsidP="00032543">
            <w:pPr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lastRenderedPageBreak/>
              <w:t xml:space="preserve">=(582 demandas y recursos radicados en el Tribunal de Justicia Administrativa del </w:t>
            </w:r>
            <w:r w:rsidRPr="00FE6C5A">
              <w:rPr>
                <w:rFonts w:cstheme="minorHAnsi"/>
                <w:sz w:val="18"/>
              </w:rPr>
              <w:lastRenderedPageBreak/>
              <w:t>Estado de Guanajuato en el año 2018/598 demandas y recursos presentados ante el Tribunal de Justicia Administrativa del Estado de Guanajuato en el año 2018)*100</w:t>
            </w:r>
          </w:p>
          <w:p w:rsidR="00FD029C" w:rsidRPr="00FE6C5A" w:rsidRDefault="00FD029C" w:rsidP="006B526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9C" w:rsidRPr="00FE6C5A" w:rsidRDefault="00032543" w:rsidP="006B5261">
            <w:pPr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lastRenderedPageBreak/>
              <w:t>97.32%</w:t>
            </w:r>
          </w:p>
        </w:tc>
      </w:tr>
      <w:tr w:rsidR="00FD029C" w:rsidRPr="00FE6C5A" w:rsidTr="006B5261">
        <w:tc>
          <w:tcPr>
            <w:tcW w:w="1525" w:type="pct"/>
            <w:vAlign w:val="center"/>
          </w:tcPr>
          <w:p w:rsidR="00FD029C" w:rsidRPr="00FE6C5A" w:rsidRDefault="00FD029C" w:rsidP="006B5261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lastRenderedPageBreak/>
              <w:t>Porcentaje de usuarios en primera consulta asesorados, con respecto al número de personas que asisten a solicitar asesoría por primera vez.</w:t>
            </w:r>
          </w:p>
        </w:tc>
        <w:tc>
          <w:tcPr>
            <w:tcW w:w="1626" w:type="pct"/>
            <w:vAlign w:val="center"/>
          </w:tcPr>
          <w:p w:rsidR="00FD029C" w:rsidRPr="00FE6C5A" w:rsidRDefault="00FD029C" w:rsidP="006B5261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>= (Número de usuarios que recibieron asesoría en primer consulta el año 2018/Número total de usuarios que asisten a solicitar asesoría por primera vez en el año 2018)*100</w:t>
            </w:r>
          </w:p>
          <w:p w:rsidR="00FD029C" w:rsidRPr="00FE6C5A" w:rsidRDefault="00FD029C" w:rsidP="003D436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03" w:type="pct"/>
            <w:vAlign w:val="center"/>
          </w:tcPr>
          <w:p w:rsidR="00FD029C" w:rsidRPr="00FE6C5A" w:rsidRDefault="00FD029C" w:rsidP="006B5261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FE6C5A">
              <w:rPr>
                <w:rFonts w:cstheme="minorHAnsi"/>
                <w:sz w:val="18"/>
              </w:rPr>
              <w:t>= (757 usuarios que recibieron asesoría en primer consulta el año 2018/757  usuarios que asisten a solicitar asesoría por primera vez en el año 2018)*100</w:t>
            </w:r>
          </w:p>
          <w:p w:rsidR="00FD029C" w:rsidRPr="00FE6C5A" w:rsidRDefault="00FD029C" w:rsidP="006B5261">
            <w:pPr>
              <w:jc w:val="center"/>
              <w:rPr>
                <w:rFonts w:cstheme="minorHAnsi"/>
                <w:sz w:val="18"/>
                <w:lang w:eastAsia="es-ES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FD029C" w:rsidRPr="00FE6C5A" w:rsidRDefault="00A75F10" w:rsidP="00A75F10">
            <w:pPr>
              <w:jc w:val="center"/>
              <w:rPr>
                <w:rFonts w:cstheme="minorHAnsi"/>
                <w:sz w:val="18"/>
                <w:lang w:eastAsia="es-ES"/>
              </w:rPr>
            </w:pPr>
            <w:r>
              <w:rPr>
                <w:rFonts w:cstheme="minorHAnsi"/>
                <w:sz w:val="18"/>
                <w:lang w:eastAsia="es-ES"/>
              </w:rPr>
              <w:t>100%</w:t>
            </w:r>
          </w:p>
        </w:tc>
      </w:tr>
    </w:tbl>
    <w:p w:rsidR="00836FE3" w:rsidRPr="00FE6C5A" w:rsidRDefault="00836FE3" w:rsidP="001513B0">
      <w:pPr>
        <w:jc w:val="both"/>
        <w:rPr>
          <w:sz w:val="24"/>
        </w:rPr>
      </w:pPr>
    </w:p>
    <w:p w:rsidR="00FE6C5A" w:rsidRDefault="00A94A36" w:rsidP="001513B0">
      <w:pPr>
        <w:jc w:val="both"/>
        <w:rPr>
          <w:sz w:val="24"/>
        </w:rPr>
      </w:pPr>
      <w:r w:rsidRPr="00FE6C5A">
        <w:rPr>
          <w:sz w:val="24"/>
        </w:rPr>
        <w:t>El resultado presentado proporciona elementos para evaluar el desempeño</w:t>
      </w:r>
      <w:r w:rsidR="005331A8" w:rsidRPr="00FE6C5A">
        <w:rPr>
          <w:sz w:val="24"/>
        </w:rPr>
        <w:t>, la eficiencia</w:t>
      </w:r>
      <w:r w:rsidR="00A75F10">
        <w:rPr>
          <w:sz w:val="24"/>
        </w:rPr>
        <w:t xml:space="preserve"> y</w:t>
      </w:r>
      <w:r w:rsidR="005331A8" w:rsidRPr="00FE6C5A">
        <w:rPr>
          <w:sz w:val="24"/>
        </w:rPr>
        <w:t xml:space="preserve"> la eficacia con la que los objetivos del programa ya mencionado son alcanzados</w:t>
      </w:r>
      <w:r w:rsidR="00FE6C5A">
        <w:rPr>
          <w:sz w:val="24"/>
        </w:rPr>
        <w:t>.</w:t>
      </w:r>
    </w:p>
    <w:p w:rsidR="00FE6C5A" w:rsidRDefault="00FE6C5A" w:rsidP="001513B0">
      <w:pPr>
        <w:jc w:val="both"/>
        <w:rPr>
          <w:sz w:val="24"/>
        </w:rPr>
      </w:pPr>
    </w:p>
    <w:sectPr w:rsidR="00FE6C5A" w:rsidSect="00FE6C5A">
      <w:headerReference w:type="default" r:id="rId7"/>
      <w:pgSz w:w="12240" w:h="15840" w:code="1"/>
      <w:pgMar w:top="2552" w:right="1701" w:bottom="1418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33" w:rsidRDefault="00127D33" w:rsidP="00032543">
      <w:pPr>
        <w:spacing w:after="0" w:line="240" w:lineRule="auto"/>
      </w:pPr>
      <w:r>
        <w:separator/>
      </w:r>
    </w:p>
  </w:endnote>
  <w:endnote w:type="continuationSeparator" w:id="0">
    <w:p w:rsidR="00127D33" w:rsidRDefault="00127D33" w:rsidP="000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33" w:rsidRDefault="00127D33" w:rsidP="00032543">
      <w:pPr>
        <w:spacing w:after="0" w:line="240" w:lineRule="auto"/>
      </w:pPr>
      <w:r>
        <w:separator/>
      </w:r>
    </w:p>
  </w:footnote>
  <w:footnote w:type="continuationSeparator" w:id="0">
    <w:p w:rsidR="00127D33" w:rsidRDefault="00127D33" w:rsidP="0003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43" w:rsidRDefault="00032543" w:rsidP="00FE6C5A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1089388" wp14:editId="5110AB3C">
          <wp:extent cx="1929240" cy="828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1.1.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24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543" w:rsidRDefault="000325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0"/>
    <w:rsid w:val="00032543"/>
    <w:rsid w:val="000500A3"/>
    <w:rsid w:val="00060B67"/>
    <w:rsid w:val="00111EA0"/>
    <w:rsid w:val="00127D33"/>
    <w:rsid w:val="0014089D"/>
    <w:rsid w:val="00147E27"/>
    <w:rsid w:val="001513B0"/>
    <w:rsid w:val="001F6005"/>
    <w:rsid w:val="003D4364"/>
    <w:rsid w:val="003E39E0"/>
    <w:rsid w:val="004647A1"/>
    <w:rsid w:val="00472041"/>
    <w:rsid w:val="004B3E69"/>
    <w:rsid w:val="005331A8"/>
    <w:rsid w:val="006834E6"/>
    <w:rsid w:val="00696533"/>
    <w:rsid w:val="006B5261"/>
    <w:rsid w:val="00836FE3"/>
    <w:rsid w:val="008D66E0"/>
    <w:rsid w:val="00A75F10"/>
    <w:rsid w:val="00A94A36"/>
    <w:rsid w:val="00D04510"/>
    <w:rsid w:val="00DC7D64"/>
    <w:rsid w:val="00FB4114"/>
    <w:rsid w:val="00FD029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43"/>
  </w:style>
  <w:style w:type="paragraph" w:styleId="Piedepgina">
    <w:name w:val="footer"/>
    <w:basedOn w:val="Normal"/>
    <w:link w:val="PiedepginaCar"/>
    <w:uiPriority w:val="99"/>
    <w:unhideWhenUsed/>
    <w:rsid w:val="0003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43"/>
  </w:style>
  <w:style w:type="paragraph" w:styleId="Textodeglobo">
    <w:name w:val="Balloon Text"/>
    <w:basedOn w:val="Normal"/>
    <w:link w:val="TextodegloboCar"/>
    <w:uiPriority w:val="99"/>
    <w:semiHidden/>
    <w:unhideWhenUsed/>
    <w:rsid w:val="0003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43"/>
  </w:style>
  <w:style w:type="paragraph" w:styleId="Piedepgina">
    <w:name w:val="footer"/>
    <w:basedOn w:val="Normal"/>
    <w:link w:val="PiedepginaCar"/>
    <w:uiPriority w:val="99"/>
    <w:unhideWhenUsed/>
    <w:rsid w:val="0003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43"/>
  </w:style>
  <w:style w:type="paragraph" w:styleId="Textodeglobo">
    <w:name w:val="Balloon Text"/>
    <w:basedOn w:val="Normal"/>
    <w:link w:val="TextodegloboCar"/>
    <w:uiPriority w:val="99"/>
    <w:semiHidden/>
    <w:unhideWhenUsed/>
    <w:rsid w:val="0003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Contra_3</dc:creator>
  <cp:lastModifiedBy>CP. JCLS</cp:lastModifiedBy>
  <cp:revision>2</cp:revision>
  <cp:lastPrinted>2018-04-11T20:37:00Z</cp:lastPrinted>
  <dcterms:created xsi:type="dcterms:W3CDTF">2018-04-25T14:31:00Z</dcterms:created>
  <dcterms:modified xsi:type="dcterms:W3CDTF">2018-04-25T14:31:00Z</dcterms:modified>
</cp:coreProperties>
</file>