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A78DF"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710D99E" w14:textId="77777777" w:rsidR="00CB47FE" w:rsidRDefault="00CB47FE" w:rsidP="00CB47FE">
      <w:pPr>
        <w:ind w:firstLine="709"/>
        <w:jc w:val="both"/>
        <w:rPr>
          <w:rFonts w:ascii="Verdana" w:hAnsi="Verdana" w:cs="Arial"/>
          <w:sz w:val="20"/>
        </w:rPr>
      </w:pPr>
      <w:r w:rsidRPr="00C66D5B">
        <w:rPr>
          <w:rFonts w:ascii="Verdana" w:hAnsi="Verdana" w:cs="Arial"/>
          <w:sz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Default="00CB47FE" w:rsidP="00CB47FE">
      <w:pPr>
        <w:jc w:val="both"/>
        <w:rPr>
          <w:rFonts w:ascii="Arial" w:hAnsi="Arial" w:cs="Arial"/>
          <w:sz w:val="20"/>
          <w:szCs w:val="20"/>
        </w:rPr>
      </w:pPr>
      <w:r w:rsidRPr="00C66D5B">
        <w:rPr>
          <w:rFonts w:ascii="Verdana" w:hAnsi="Verdana" w:cs="Arial"/>
          <w:sz w:val="20"/>
        </w:rPr>
        <w:t>Formará parte del Sistema Estatal Anticorrupción, su actuación estará sujeta a las bases establecidas en la Constitución Política para el Estado de Guanajuato, así como en la Ley del Sistema Estatal Anticorrupción de Guanajuato</w:t>
      </w:r>
      <w:r w:rsidR="00E6571C">
        <w:rPr>
          <w:rFonts w:ascii="Arial" w:hAnsi="Arial" w:cs="Arial"/>
          <w:sz w:val="20"/>
          <w:szCs w:val="20"/>
        </w:rPr>
        <w:t xml:space="preserve">.  </w:t>
      </w:r>
    </w:p>
    <w:p w14:paraId="7FC5E966" w14:textId="77777777" w:rsidR="007D1E76" w:rsidRPr="00E74967" w:rsidRDefault="007D1E76" w:rsidP="007D1E76">
      <w:pPr>
        <w:spacing w:after="0" w:line="240" w:lineRule="auto"/>
        <w:jc w:val="both"/>
        <w:rPr>
          <w:rFonts w:cs="Calibri"/>
        </w:rPr>
      </w:pPr>
    </w:p>
    <w:p w14:paraId="6697FD8A" w14:textId="1C12FACD"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lastRenderedPageBreak/>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1A73A5F3"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 xml:space="preserve">El pasado 21 de Junio del año </w:t>
      </w:r>
      <w:r w:rsidR="00257C2C">
        <w:rPr>
          <w:rFonts w:ascii="Arial" w:hAnsi="Arial" w:cs="Arial"/>
          <w:sz w:val="20"/>
          <w:szCs w:val="20"/>
        </w:rPr>
        <w:t>2017</w:t>
      </w:r>
      <w:r w:rsidRPr="000A07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5C21D1A7" w14:textId="42FB5FF2" w:rsidR="001023AE" w:rsidRDefault="007D1E76" w:rsidP="001023AE">
      <w:pPr>
        <w:spacing w:after="0" w:line="240" w:lineRule="auto"/>
        <w:jc w:val="both"/>
        <w:rPr>
          <w:rFonts w:cs="Calibri"/>
        </w:rPr>
      </w:pPr>
      <w:r w:rsidRPr="00E74967">
        <w:rPr>
          <w:rFonts w:cs="Calibri"/>
          <w:b/>
        </w:rPr>
        <w:t>c)</w:t>
      </w:r>
      <w:r w:rsidRPr="00E74967">
        <w:rPr>
          <w:rFonts w:cs="Calibri"/>
        </w:rPr>
        <w:t xml:space="preserve"> Ejercicio fiscal</w:t>
      </w:r>
      <w:proofErr w:type="gramStart"/>
      <w:r w:rsidR="00B5222B">
        <w:rPr>
          <w:rFonts w:cs="Calibri"/>
        </w:rPr>
        <w:t xml:space="preserve">:  </w:t>
      </w:r>
      <w:r w:rsidR="003077E1">
        <w:rPr>
          <w:rFonts w:cs="Calibri"/>
        </w:rPr>
        <w:t>Enero</w:t>
      </w:r>
      <w:proofErr w:type="gramEnd"/>
      <w:r w:rsidR="003077E1">
        <w:rPr>
          <w:rFonts w:cs="Calibri"/>
        </w:rPr>
        <w:t xml:space="preserve"> a diciembre 201</w:t>
      </w:r>
      <w:r w:rsidR="00A9070B">
        <w:rPr>
          <w:rFonts w:cs="Calibri"/>
        </w:rPr>
        <w:t>9</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bookmarkStart w:id="0" w:name="_GoBack"/>
      <w:bookmarkEnd w:id="0"/>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2AC22C2C" w:rsidR="001023AE" w:rsidRDefault="001023AE" w:rsidP="001023AE">
      <w:pPr>
        <w:jc w:val="both"/>
        <w:rPr>
          <w:rFonts w:ascii="Arial" w:hAnsi="Arial" w:cs="Arial"/>
          <w:sz w:val="20"/>
          <w:szCs w:val="20"/>
        </w:rPr>
      </w:pPr>
      <w:r>
        <w:rPr>
          <w:rFonts w:ascii="Arial" w:hAnsi="Arial" w:cs="Arial"/>
          <w:sz w:val="20"/>
          <w:szCs w:val="20"/>
        </w:rPr>
        <w:t>RETENEDOR DE IMPUETOS</w:t>
      </w:r>
      <w:r w:rsidR="00883BB8">
        <w:rPr>
          <w:rFonts w:ascii="Arial" w:hAnsi="Arial" w:cs="Arial"/>
          <w:sz w:val="20"/>
          <w:szCs w:val="20"/>
        </w:rPr>
        <w:t xml:space="preserve"> </w:t>
      </w:r>
      <w:r>
        <w:rPr>
          <w:rFonts w:ascii="Arial" w:hAnsi="Arial" w:cs="Arial"/>
          <w:sz w:val="20"/>
          <w:szCs w:val="20"/>
        </w:rPr>
        <w:t>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5pt;height:346.4pt" o:ole="">
            <v:imagedata r:id="rId12" o:title=""/>
          </v:shape>
          <o:OLEObject Type="Embed" ProgID="Visio.Drawing.15" ShapeID="_x0000_i1025" DrawAspect="Content" ObjectID="_1632744336" r:id="rId13"/>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3F17226" w14:textId="77777777" w:rsidR="00174F67" w:rsidRPr="00E74967" w:rsidRDefault="00174F67" w:rsidP="00174F67">
      <w:pPr>
        <w:spacing w:after="0" w:line="240" w:lineRule="auto"/>
        <w:jc w:val="both"/>
        <w:rPr>
          <w:rFonts w:cs="Calibri"/>
        </w:rPr>
      </w:pPr>
      <w:r w:rsidRPr="00E74967">
        <w:rPr>
          <w:rFonts w:cs="Calibri"/>
        </w:rPr>
        <w:t>Se informará sobre:</w:t>
      </w:r>
    </w:p>
    <w:p w14:paraId="00B4DB6C" w14:textId="77777777" w:rsidR="00174F67" w:rsidRPr="00E74967" w:rsidRDefault="00174F67" w:rsidP="00174F67">
      <w:pPr>
        <w:spacing w:after="0" w:line="240" w:lineRule="auto"/>
        <w:jc w:val="both"/>
        <w:rPr>
          <w:rFonts w:cs="Calibri"/>
        </w:rPr>
      </w:pPr>
    </w:p>
    <w:p w14:paraId="355279E1" w14:textId="77777777" w:rsidR="00174F67" w:rsidRPr="00E74967" w:rsidRDefault="00174F67" w:rsidP="00174F67">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1A76B2" w14:textId="77777777" w:rsidR="00174F67" w:rsidRPr="0088226F" w:rsidRDefault="00174F67" w:rsidP="00174F67">
      <w:pPr>
        <w:shd w:val="clear" w:color="auto" w:fill="FFFFFF"/>
        <w:spacing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Se han aplicado los siguientes documentos del CONAC en cuanto a nuestro ámbito de competencia:</w:t>
      </w:r>
    </w:p>
    <w:p w14:paraId="6A48545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General</w:t>
      </w:r>
    </w:p>
    <w:p w14:paraId="73D9065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Marco conceptual de Contabilidad Gubernamental</w:t>
      </w:r>
    </w:p>
    <w:p w14:paraId="67D61FC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Postulados básicos de Contabilidad Gubernamental</w:t>
      </w:r>
    </w:p>
    <w:p w14:paraId="1C8E418E"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Clasificadores Presupuestarios</w:t>
      </w:r>
    </w:p>
    <w:p w14:paraId="1875AEC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Rubros de Ingresos</w:t>
      </w:r>
    </w:p>
    <w:p w14:paraId="75BE684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Administrativa</w:t>
      </w:r>
    </w:p>
    <w:p w14:paraId="24B4164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Clasificación Funcional del Gasto</w:t>
      </w:r>
    </w:p>
    <w:p w14:paraId="2BC8A15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Programática</w:t>
      </w:r>
    </w:p>
    <w:p w14:paraId="4AE2C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Tipo de Gasto</w:t>
      </w:r>
    </w:p>
    <w:p w14:paraId="79CEAC7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Objeto del Gasto</w:t>
      </w:r>
    </w:p>
    <w:p w14:paraId="08BB509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Fuentes de Financiamiento</w:t>
      </w:r>
    </w:p>
    <w:p w14:paraId="1510426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Económica de los Ingresos, de los Gastos y del Financiamiento de los Entes Públicos</w:t>
      </w:r>
    </w:p>
    <w:p w14:paraId="2BD0E33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de registro</w:t>
      </w:r>
    </w:p>
    <w:p w14:paraId="07AA188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237C324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6EA0FCC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Ingresos</w:t>
      </w:r>
    </w:p>
    <w:p w14:paraId="310EEA6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Egresos</w:t>
      </w:r>
    </w:p>
    <w:p w14:paraId="2442AE8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que deberán observar los entes públicos para registrar en las cuentas de activo los fideicomisos sin estructura orgánica y contratos análogos, incluyendo mandatos</w:t>
      </w:r>
    </w:p>
    <w:p w14:paraId="2D2D833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Parámetros de Estimación de Vida Útil</w:t>
      </w:r>
    </w:p>
    <w:p w14:paraId="460F0A6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emite el formato de conciliación entre los ingresos presupuestarios y contables, así como entre los egresos presupuestarios y los gastos contables</w:t>
      </w:r>
    </w:p>
    <w:p w14:paraId="4A0FDBB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presupuestario y contable de los Recursos del Fondo de Aportaciones para la Nómina Educativa y Gasto Operativo</w:t>
      </w:r>
    </w:p>
    <w:p w14:paraId="5D6C55A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Manuales simplificados municipios</w:t>
      </w:r>
    </w:p>
    <w:p w14:paraId="4742BE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armoniza la estructura de las cuentas públicas</w:t>
      </w:r>
    </w:p>
    <w:p w14:paraId="66959CB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en materia de consolidación de Estados Financieros y demás información contable</w:t>
      </w:r>
    </w:p>
    <w:p w14:paraId="14A8E7E1"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de control</w:t>
      </w:r>
    </w:p>
    <w:p w14:paraId="2ED4515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Auxiliar Sujeto a Inventario de Bienes Arqueológicos, Artísticos e Históricos Bajo Custodia de los Entes Públicos</w:t>
      </w:r>
    </w:p>
    <w:p w14:paraId="2241761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Mínimos relativos al Diseño e Integración del Registro en los Libros Diario, Mayor e Inventarios y Balances (Registro Electrónico)</w:t>
      </w:r>
    </w:p>
    <w:p w14:paraId="445AF62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que permita la interrelación automática con el Clasificador por Objeto del Gasto y la Lista de Cuentas</w:t>
      </w:r>
    </w:p>
    <w:p w14:paraId="70A2857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Inmuebles que Permita la Interrelación Automática con el Clasificador por Objeto del Gasto y la Lista de Cuentas</w:t>
      </w:r>
    </w:p>
    <w:p w14:paraId="55AB2D2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para establecer la estructura del formato de la relación de bienes que componen el patrimonio del ente público</w:t>
      </w:r>
    </w:p>
    <w:p w14:paraId="22F0195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Transparencia</w:t>
      </w:r>
    </w:p>
    <w:p w14:paraId="0374A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armonizar la presentación de la información adicional a la iniciativa de la Ley de Ingresos</w:t>
      </w:r>
    </w:p>
    <w:p w14:paraId="2E0CD95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Norma para armonizar la presentación de la información adicional del Proyecto del Presupuesto de Egresos</w:t>
      </w:r>
    </w:p>
    <w:p w14:paraId="3DFBC8C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la difusión a la ciudadanía de la Ley de Ingresos y del Presupuesto de Egresos</w:t>
      </w:r>
    </w:p>
    <w:p w14:paraId="7F5388F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 Ingresos base mensual</w:t>
      </w:r>
    </w:p>
    <w:p w14:paraId="42BB18F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del Presupuesto de Egresos base mensual</w:t>
      </w:r>
    </w:p>
    <w:p w14:paraId="1EB8B6E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montos pagados por ayudas y subsidios</w:t>
      </w:r>
    </w:p>
    <w:p w14:paraId="2F4CD41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para establecer la estructura de información del formato del ejercicio y destino de gasto federalizado y reintegros</w:t>
      </w:r>
    </w:p>
    <w:p w14:paraId="3170737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proofErr w:type="spellStart"/>
      <w:r w:rsidRPr="0088226F">
        <w:rPr>
          <w:rFonts w:eastAsia="Times New Roman" w:cs="Arial"/>
          <w:color w:val="000000"/>
          <w:sz w:val="24"/>
          <w:szCs w:val="24"/>
          <w:lang w:eastAsia="es-MX"/>
        </w:rPr>
        <w:t>Pbr</w:t>
      </w:r>
      <w:proofErr w:type="spellEnd"/>
      <w:r w:rsidRPr="0088226F">
        <w:rPr>
          <w:rFonts w:eastAsia="Times New Roman" w:cs="Arial"/>
          <w:color w:val="000000"/>
          <w:sz w:val="24"/>
          <w:szCs w:val="24"/>
          <w:lang w:eastAsia="es-MX"/>
        </w:rPr>
        <w:t>-SED</w:t>
      </w:r>
    </w:p>
    <w:p w14:paraId="1900DC3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sobre los Indicadores para Medir los Avances Físicos y Financieros relacionados con los Recursos Públicos Federales</w:t>
      </w:r>
    </w:p>
    <w:p w14:paraId="510DE73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construcción y diseño de indicadores de desempeño mediante la Metodología de Marco Lógico</w:t>
      </w:r>
    </w:p>
    <w:p w14:paraId="1D6C7876" w14:textId="77777777" w:rsidR="00174F67" w:rsidRPr="00E74967" w:rsidRDefault="00174F67" w:rsidP="00174F67">
      <w:pPr>
        <w:spacing w:after="0" w:line="240" w:lineRule="auto"/>
        <w:jc w:val="both"/>
        <w:rPr>
          <w:rFonts w:cs="Calibri"/>
        </w:rPr>
      </w:pPr>
    </w:p>
    <w:p w14:paraId="6555F8EB" w14:textId="77777777" w:rsidR="00174F67" w:rsidRPr="00E74967" w:rsidRDefault="00174F67" w:rsidP="00174F67">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3097380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344DEB78" w14:textId="77777777" w:rsidR="00174F67" w:rsidRDefault="00174F67" w:rsidP="00174F67">
      <w:pPr>
        <w:spacing w:after="0" w:line="240" w:lineRule="auto"/>
        <w:jc w:val="both"/>
        <w:rPr>
          <w:rFonts w:cs="Calibri"/>
        </w:rPr>
      </w:pPr>
    </w:p>
    <w:p w14:paraId="2C4F1C88" w14:textId="77777777" w:rsidR="00174F67" w:rsidRPr="00E74967" w:rsidRDefault="00174F67" w:rsidP="00174F67">
      <w:pPr>
        <w:spacing w:after="0" w:line="240" w:lineRule="auto"/>
        <w:jc w:val="both"/>
        <w:rPr>
          <w:rFonts w:cs="Calibri"/>
        </w:rPr>
      </w:pPr>
      <w:r w:rsidRPr="00E74967">
        <w:rPr>
          <w:rFonts w:cs="Calibri"/>
          <w:b/>
        </w:rPr>
        <w:t>c)</w:t>
      </w:r>
      <w:r w:rsidRPr="00E74967">
        <w:rPr>
          <w:rFonts w:cs="Calibri"/>
        </w:rPr>
        <w:t xml:space="preserve"> Postulados básicos.</w:t>
      </w:r>
    </w:p>
    <w:p w14:paraId="72066140"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Los postulados básicos del CONAC en lo que resulte aplicable</w:t>
      </w:r>
    </w:p>
    <w:p w14:paraId="79CDB7E7"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6415093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 Sustancia Económica</w:t>
      </w:r>
    </w:p>
    <w:p w14:paraId="1610276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2) Entes Públicos</w:t>
      </w:r>
    </w:p>
    <w:p w14:paraId="04C5584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3) Existencia Permanente</w:t>
      </w:r>
    </w:p>
    <w:p w14:paraId="21D7F01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4) Revelación Suficiente</w:t>
      </w:r>
    </w:p>
    <w:p w14:paraId="74233FF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5) Importancia Relativa</w:t>
      </w:r>
    </w:p>
    <w:p w14:paraId="075A69E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6) Registro e Integración Presupuestaria</w:t>
      </w:r>
    </w:p>
    <w:p w14:paraId="329DCE8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7) Consolidación de la Información Financiera</w:t>
      </w:r>
    </w:p>
    <w:p w14:paraId="6B083A4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8) Devengo Contable</w:t>
      </w:r>
    </w:p>
    <w:p w14:paraId="35B0829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9) Valuación</w:t>
      </w:r>
    </w:p>
    <w:p w14:paraId="4F8EE21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10) Dualidad Económica</w:t>
      </w:r>
    </w:p>
    <w:p w14:paraId="3784D3F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11) Consistencia</w:t>
      </w:r>
    </w:p>
    <w:p w14:paraId="7DC4805F"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 </w:t>
      </w:r>
    </w:p>
    <w:p w14:paraId="767DADF3" w14:textId="77777777" w:rsidR="00174F67" w:rsidRPr="00E74967" w:rsidRDefault="00174F67" w:rsidP="00174F67">
      <w:pPr>
        <w:spacing w:after="0" w:line="240" w:lineRule="auto"/>
        <w:jc w:val="both"/>
        <w:rPr>
          <w:rFonts w:cs="Calibri"/>
        </w:rPr>
      </w:pPr>
    </w:p>
    <w:p w14:paraId="4E8743C7" w14:textId="77777777" w:rsidR="00174F67" w:rsidRDefault="00174F67" w:rsidP="00174F67">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Default="00174F67" w:rsidP="00174F67">
      <w:pPr>
        <w:jc w:val="both"/>
        <w:rPr>
          <w:rFonts w:ascii="Arial" w:hAnsi="Arial" w:cs="Arial"/>
          <w:sz w:val="20"/>
          <w:szCs w:val="20"/>
        </w:rPr>
      </w:pPr>
      <w:r>
        <w:rPr>
          <w:rFonts w:ascii="Arial" w:hAnsi="Arial" w:cs="Arial"/>
          <w:sz w:val="20"/>
          <w:szCs w:val="20"/>
        </w:rPr>
        <w:t>NO APLICA</w:t>
      </w:r>
    </w:p>
    <w:p w14:paraId="53BBDEE1" w14:textId="77777777" w:rsidR="00174F67" w:rsidRPr="00E74967" w:rsidRDefault="00174F67" w:rsidP="00174F67">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9624FB4" w14:textId="77777777" w:rsidR="00174F67" w:rsidRPr="00E74967" w:rsidRDefault="00174F67" w:rsidP="00174F67">
      <w:pPr>
        <w:spacing w:after="0" w:line="240" w:lineRule="auto"/>
        <w:jc w:val="both"/>
        <w:rPr>
          <w:rFonts w:cs="Calibri"/>
        </w:rPr>
      </w:pPr>
    </w:p>
    <w:p w14:paraId="7B9890CB" w14:textId="77777777" w:rsidR="00174F67" w:rsidRPr="00E74967" w:rsidRDefault="00174F67" w:rsidP="00174F67">
      <w:pPr>
        <w:spacing w:after="0" w:line="240" w:lineRule="auto"/>
        <w:jc w:val="both"/>
        <w:rPr>
          <w:rFonts w:cs="Calibri"/>
        </w:rPr>
      </w:pPr>
      <w:r w:rsidRPr="00E74967">
        <w:rPr>
          <w:rFonts w:cs="Calibri"/>
        </w:rPr>
        <w:t>*Revelar las nuevas políticas de reconocimiento:</w:t>
      </w:r>
    </w:p>
    <w:p w14:paraId="26F7A4DF" w14:textId="77777777" w:rsidR="00174F67" w:rsidRDefault="00174F67" w:rsidP="00174F67">
      <w:pPr>
        <w:spacing w:after="0" w:line="240" w:lineRule="auto"/>
        <w:jc w:val="both"/>
        <w:rPr>
          <w:color w:val="000000"/>
          <w:shd w:val="clear" w:color="auto" w:fill="FFFFFF"/>
        </w:rPr>
      </w:pPr>
      <w:r>
        <w:rPr>
          <w:color w:val="000000"/>
          <w:shd w:val="clear" w:color="auto" w:fill="FFFFFF"/>
        </w:rPr>
        <w:t>Esta nota no le aplica al ente público</w:t>
      </w:r>
    </w:p>
    <w:p w14:paraId="057CD2DC" w14:textId="77777777" w:rsidR="00174F67" w:rsidRPr="00E74967" w:rsidRDefault="00174F67" w:rsidP="00174F67">
      <w:pPr>
        <w:spacing w:after="0" w:line="240" w:lineRule="auto"/>
        <w:jc w:val="both"/>
        <w:rPr>
          <w:rFonts w:cs="Calibri"/>
        </w:rPr>
      </w:pPr>
    </w:p>
    <w:p w14:paraId="20B1FF37" w14:textId="77777777" w:rsidR="00174F67" w:rsidRPr="00E74967" w:rsidRDefault="00174F67" w:rsidP="00174F67">
      <w:pPr>
        <w:spacing w:after="0" w:line="240" w:lineRule="auto"/>
        <w:jc w:val="both"/>
        <w:rPr>
          <w:rFonts w:cs="Calibri"/>
        </w:rPr>
      </w:pPr>
      <w:r w:rsidRPr="00E74967">
        <w:rPr>
          <w:rFonts w:cs="Calibri"/>
        </w:rPr>
        <w:t>*Plan de implementación:</w:t>
      </w:r>
    </w:p>
    <w:p w14:paraId="6798AAC8" w14:textId="77777777" w:rsidR="00174F67" w:rsidRDefault="00174F67" w:rsidP="00174F67">
      <w:pPr>
        <w:jc w:val="both"/>
        <w:rPr>
          <w:rFonts w:ascii="Arial" w:hAnsi="Arial" w:cs="Arial"/>
          <w:sz w:val="20"/>
          <w:szCs w:val="20"/>
        </w:rPr>
      </w:pPr>
      <w:r>
        <w:rPr>
          <w:color w:val="000000"/>
          <w:shd w:val="clear" w:color="auto" w:fill="FFFFFF"/>
        </w:rPr>
        <w:t>Esta nota no le aplica al ente público</w:t>
      </w:r>
    </w:p>
    <w:p w14:paraId="66DCB7A2" w14:textId="77777777" w:rsidR="00174F67" w:rsidRPr="00E74967" w:rsidRDefault="00174F67" w:rsidP="00174F67">
      <w:pPr>
        <w:spacing w:after="0" w:line="240" w:lineRule="auto"/>
        <w:jc w:val="both"/>
        <w:rPr>
          <w:rFonts w:cs="Calibri"/>
        </w:rPr>
      </w:pPr>
    </w:p>
    <w:p w14:paraId="3C7DC128" w14:textId="77777777" w:rsidR="00174F67" w:rsidRPr="00E74967" w:rsidRDefault="00174F67" w:rsidP="00174F67">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F67E64F" w14:textId="77777777" w:rsidR="00174F67" w:rsidRPr="00E74967" w:rsidRDefault="00174F67" w:rsidP="00174F67">
      <w:pPr>
        <w:spacing w:after="0" w:line="240" w:lineRule="auto"/>
        <w:jc w:val="both"/>
        <w:rPr>
          <w:rFonts w:cs="Calibri"/>
        </w:rPr>
      </w:pPr>
      <w:r>
        <w:rPr>
          <w:color w:val="000000"/>
          <w:shd w:val="clear" w:color="auto" w:fill="FFFFFF"/>
        </w:rPr>
        <w:t>Esta nota no le aplica al ente público</w:t>
      </w:r>
    </w:p>
    <w:p w14:paraId="0FFB492E" w14:textId="77777777" w:rsidR="00174F67" w:rsidRPr="00E74967" w:rsidRDefault="00174F67" w:rsidP="00174F67">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EC4B025" w:rsidR="00354B23" w:rsidRDefault="00354B23" w:rsidP="00354B23">
      <w:pPr>
        <w:jc w:val="both"/>
        <w:rPr>
          <w:rFonts w:ascii="Arial" w:hAnsi="Arial" w:cs="Arial"/>
          <w:sz w:val="20"/>
          <w:szCs w:val="20"/>
        </w:rPr>
      </w:pPr>
      <w:r>
        <w:rPr>
          <w:rFonts w:ascii="Arial" w:hAnsi="Arial" w:cs="Arial"/>
          <w:sz w:val="20"/>
          <w:szCs w:val="20"/>
        </w:rPr>
        <w:t xml:space="preserve">Actualmente se cuenta con los Lineamientos Fondo de Pasivos Laborales, cuyo objeto es establecer las disposiciones inherentes a la constitución, ejercicio y control del Fondo de Pasivos Laborales del Tribunal de </w:t>
      </w:r>
      <w:r w:rsidR="001215F0">
        <w:rPr>
          <w:rFonts w:ascii="Arial" w:hAnsi="Arial" w:cs="Arial"/>
          <w:sz w:val="20"/>
          <w:szCs w:val="20"/>
        </w:rPr>
        <w:t>Justicia</w:t>
      </w:r>
      <w:r>
        <w:rPr>
          <w:rFonts w:ascii="Arial" w:hAnsi="Arial" w:cs="Arial"/>
          <w:sz w:val="20"/>
          <w:szCs w:val="20"/>
        </w:rPr>
        <w:t>,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3AF1E389" w:rsidR="00284FB5" w:rsidRDefault="00284FB5" w:rsidP="00284FB5">
      <w:pPr>
        <w:jc w:val="both"/>
        <w:rPr>
          <w:rFonts w:ascii="Arial" w:hAnsi="Arial" w:cs="Arial"/>
          <w:sz w:val="20"/>
          <w:szCs w:val="20"/>
        </w:rPr>
      </w:pPr>
      <w:r>
        <w:rPr>
          <w:rFonts w:ascii="Arial" w:hAnsi="Arial" w:cs="Arial"/>
          <w:sz w:val="20"/>
          <w:szCs w:val="20"/>
        </w:rPr>
        <w:t xml:space="preserve">SE UTILIZA </w:t>
      </w:r>
      <w:r w:rsidR="00B32F9A">
        <w:rPr>
          <w:rFonts w:ascii="Arial" w:hAnsi="Arial" w:cs="Arial"/>
          <w:sz w:val="20"/>
          <w:szCs w:val="20"/>
        </w:rPr>
        <w:t>EL METODO DE LINEA RECTA POR TAS</w:t>
      </w:r>
      <w:r>
        <w:rPr>
          <w:rFonts w:ascii="Arial" w:hAnsi="Arial" w:cs="Arial"/>
          <w:sz w:val="20"/>
          <w:szCs w:val="20"/>
        </w:rPr>
        <w:t>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1E12CCA9" w:rsidR="00284FB5" w:rsidRDefault="00B32F9A" w:rsidP="00284FB5">
      <w:pPr>
        <w:jc w:val="both"/>
        <w:rPr>
          <w:rFonts w:ascii="Arial" w:hAnsi="Arial" w:cs="Arial"/>
          <w:sz w:val="20"/>
          <w:szCs w:val="20"/>
        </w:rPr>
      </w:pPr>
      <w:r>
        <w:rPr>
          <w:rFonts w:ascii="Arial" w:hAnsi="Arial" w:cs="Arial"/>
          <w:sz w:val="20"/>
          <w:szCs w:val="20"/>
        </w:rPr>
        <w:t>La depreciación en el año 2018</w:t>
      </w:r>
      <w:r w:rsidR="00284FB5">
        <w:rPr>
          <w:rFonts w:ascii="Arial" w:hAnsi="Arial" w:cs="Arial"/>
          <w:sz w:val="20"/>
          <w:szCs w:val="20"/>
        </w:rPr>
        <w:t xml:space="preserve">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0C497906"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Pr>
          <w:rFonts w:eastAsia="Times New Roman" w:cs="Arial"/>
          <w:color w:val="0A0A0A"/>
          <w:sz w:val="20"/>
          <w:szCs w:val="20"/>
          <w:bdr w:val="none" w:sz="0" w:space="0" w:color="auto" w:frame="1"/>
          <w:lang w:eastAsia="es-MX"/>
        </w:rPr>
        <w:t>Justicia Administrativa</w:t>
      </w:r>
      <w:r w:rsidRPr="008C0610">
        <w:rPr>
          <w:rFonts w:eastAsia="Times New Roman" w:cs="Arial"/>
          <w:color w:val="0A0A0A"/>
          <w:sz w:val="20"/>
          <w:szCs w:val="20"/>
          <w:bdr w:val="none" w:sz="0" w:space="0" w:color="auto" w:frame="1"/>
          <w:lang w:eastAsia="es-MX"/>
        </w:rPr>
        <w:t xml:space="preserve">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6DED4E5D" w14:textId="306B3028"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43E43BCC" w14:textId="1B232CA6"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25D6DE3F" w14:textId="2F74A609"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E59FE5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tcPr>
          <w:p w14:paraId="23CC9BDB" w14:textId="3E6D9D4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B83E0C5" w14:textId="0E3670C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D52D8F6" w14:textId="5992261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932CA41"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tcPr>
          <w:p w14:paraId="686EA761" w14:textId="56CB19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182E12" w14:textId="489DBCE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52AC5B2E" w14:textId="6664EAB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3F8ABB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tcPr>
          <w:p w14:paraId="4FFFB572" w14:textId="488D77E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FE0B68D" w14:textId="763D915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AC7F46D" w14:textId="32FD87D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1D041EC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tcPr>
          <w:p w14:paraId="188D1BB8" w14:textId="4350A5F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6D2F17" w14:textId="07FB8EF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FB48FFA" w14:textId="58A81682"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2F904AD8"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tcPr>
          <w:p w14:paraId="6C8AA11F" w14:textId="43745A5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D541E7F" w14:textId="61BA584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3F22A7E8" w14:textId="44DA719E"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0DF71379"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tcPr>
          <w:p w14:paraId="365ED37F" w14:textId="0B45869B"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6EE46D8D" w14:textId="0549916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4C4BAB4A" w14:textId="725AB1A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639E54B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tcPr>
          <w:p w14:paraId="6565A42E" w14:textId="1C5EC3E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0758709A" w14:textId="7A8DC2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66E46908" w14:textId="2B6B2C3F"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B5CA62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tcPr>
          <w:p w14:paraId="3147A5F4" w14:textId="498D4A0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24B65423" w14:textId="4C5D998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1C69C09" w14:textId="3DD89A1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E3C3" w14:textId="77777777" w:rsidR="005A78DF" w:rsidRDefault="005A78DF" w:rsidP="00E00323">
      <w:pPr>
        <w:spacing w:after="0" w:line="240" w:lineRule="auto"/>
      </w:pPr>
      <w:r>
        <w:separator/>
      </w:r>
    </w:p>
  </w:endnote>
  <w:endnote w:type="continuationSeparator" w:id="0">
    <w:p w14:paraId="5F7A274B" w14:textId="77777777" w:rsidR="005A78DF" w:rsidRDefault="005A78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A6D3A" w14:textId="77777777" w:rsidR="005A78DF" w:rsidRDefault="005A78DF" w:rsidP="00E00323">
      <w:pPr>
        <w:spacing w:after="0" w:line="240" w:lineRule="auto"/>
      </w:pPr>
      <w:r>
        <w:separator/>
      </w:r>
    </w:p>
  </w:footnote>
  <w:footnote w:type="continuationSeparator" w:id="0">
    <w:p w14:paraId="027FD6DE" w14:textId="77777777" w:rsidR="005A78DF" w:rsidRDefault="005A78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7810"/>
    <w:rsid w:val="001023AE"/>
    <w:rsid w:val="001215F0"/>
    <w:rsid w:val="00127BAB"/>
    <w:rsid w:val="00154BA3"/>
    <w:rsid w:val="00174F67"/>
    <w:rsid w:val="001973A2"/>
    <w:rsid w:val="001C75F2"/>
    <w:rsid w:val="001D0A10"/>
    <w:rsid w:val="001D2063"/>
    <w:rsid w:val="00257C2C"/>
    <w:rsid w:val="00284FB5"/>
    <w:rsid w:val="002C4ED6"/>
    <w:rsid w:val="003077E1"/>
    <w:rsid w:val="00345BAF"/>
    <w:rsid w:val="00354B23"/>
    <w:rsid w:val="00360A4F"/>
    <w:rsid w:val="00367B6D"/>
    <w:rsid w:val="003D3D47"/>
    <w:rsid w:val="003F3441"/>
    <w:rsid w:val="00435A87"/>
    <w:rsid w:val="0045352B"/>
    <w:rsid w:val="004A58C8"/>
    <w:rsid w:val="005014A2"/>
    <w:rsid w:val="00564EDB"/>
    <w:rsid w:val="005A78DF"/>
    <w:rsid w:val="005D3E43"/>
    <w:rsid w:val="005E231E"/>
    <w:rsid w:val="0060338A"/>
    <w:rsid w:val="006344E9"/>
    <w:rsid w:val="00647A71"/>
    <w:rsid w:val="00657009"/>
    <w:rsid w:val="00666B16"/>
    <w:rsid w:val="00671A72"/>
    <w:rsid w:val="00681C79"/>
    <w:rsid w:val="006B7891"/>
    <w:rsid w:val="00736D5E"/>
    <w:rsid w:val="007610BC"/>
    <w:rsid w:val="007714AB"/>
    <w:rsid w:val="007A14F0"/>
    <w:rsid w:val="007D1E76"/>
    <w:rsid w:val="007F2FA6"/>
    <w:rsid w:val="00835EC9"/>
    <w:rsid w:val="0086459F"/>
    <w:rsid w:val="00876A36"/>
    <w:rsid w:val="00883BB8"/>
    <w:rsid w:val="008C0610"/>
    <w:rsid w:val="008E076C"/>
    <w:rsid w:val="009B2C3D"/>
    <w:rsid w:val="009D3EAB"/>
    <w:rsid w:val="00A11DB9"/>
    <w:rsid w:val="00A26544"/>
    <w:rsid w:val="00A9070B"/>
    <w:rsid w:val="00AA41E5"/>
    <w:rsid w:val="00AD6A0D"/>
    <w:rsid w:val="00AE1A12"/>
    <w:rsid w:val="00AE1F6A"/>
    <w:rsid w:val="00B32F9A"/>
    <w:rsid w:val="00B5222B"/>
    <w:rsid w:val="00BD628E"/>
    <w:rsid w:val="00C53996"/>
    <w:rsid w:val="00C660FF"/>
    <w:rsid w:val="00C803F0"/>
    <w:rsid w:val="00CB47FE"/>
    <w:rsid w:val="00D13C44"/>
    <w:rsid w:val="00D32EF7"/>
    <w:rsid w:val="00D975B1"/>
    <w:rsid w:val="00D97E86"/>
    <w:rsid w:val="00DF705F"/>
    <w:rsid w:val="00E00323"/>
    <w:rsid w:val="00E64D40"/>
    <w:rsid w:val="00E6571C"/>
    <w:rsid w:val="00E74967"/>
    <w:rsid w:val="00EA7915"/>
    <w:rsid w:val="00F4262E"/>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ibujo_de_Microsoft_Visio1111111111111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3172</Words>
  <Characters>17450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con_martha</cp:lastModifiedBy>
  <cp:revision>6</cp:revision>
  <dcterms:created xsi:type="dcterms:W3CDTF">2018-10-29T22:36:00Z</dcterms:created>
  <dcterms:modified xsi:type="dcterms:W3CDTF">2019-10-16T20:19:00Z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